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833E2" w14:textId="77777777" w:rsidR="00CC2728" w:rsidRDefault="00CC2728" w:rsidP="001F61ED">
      <w:pPr>
        <w:spacing w:line="580" w:lineRule="exact"/>
        <w:rPr>
          <w:rFonts w:ascii="方正大标宋简体" w:eastAsia="方正大标宋简体" w:hAnsi="仿宋"/>
          <w:sz w:val="44"/>
          <w:szCs w:val="44"/>
        </w:rPr>
      </w:pPr>
      <w:bookmarkStart w:id="0" w:name="_GoBack"/>
      <w:bookmarkEnd w:id="0"/>
    </w:p>
    <w:p w14:paraId="1D7AD562" w14:textId="77777777" w:rsidR="001E472B" w:rsidRDefault="00363008" w:rsidP="001F61ED">
      <w:pPr>
        <w:spacing w:line="580" w:lineRule="exact"/>
        <w:jc w:val="center"/>
        <w:rPr>
          <w:rFonts w:ascii="方正大标宋简体" w:eastAsia="方正大标宋简体" w:hAnsi="仿宋"/>
          <w:sz w:val="44"/>
          <w:szCs w:val="44"/>
        </w:rPr>
      </w:pPr>
      <w:r w:rsidRPr="00363008">
        <w:rPr>
          <w:rFonts w:ascii="方正大标宋简体" w:eastAsia="方正大标宋简体" w:hAnsi="仿宋" w:hint="eastAsia"/>
          <w:sz w:val="44"/>
          <w:szCs w:val="44"/>
        </w:rPr>
        <w:t>北京证券交易所 全国中小企业股份转让系统</w:t>
      </w:r>
    </w:p>
    <w:p w14:paraId="6399A118" w14:textId="1DA134BC" w:rsidR="005419F9" w:rsidRPr="00F631F7" w:rsidRDefault="00363008" w:rsidP="00F631F7">
      <w:pPr>
        <w:spacing w:line="580" w:lineRule="exact"/>
        <w:jc w:val="center"/>
        <w:rPr>
          <w:rFonts w:eastAsia="方正大标宋简体"/>
          <w:sz w:val="44"/>
          <w:szCs w:val="44"/>
        </w:rPr>
      </w:pPr>
      <w:r w:rsidRPr="00363008">
        <w:rPr>
          <w:rFonts w:ascii="方正大标宋简体" w:eastAsia="方正大标宋简体" w:hAnsi="仿宋" w:hint="eastAsia"/>
          <w:sz w:val="44"/>
          <w:szCs w:val="44"/>
        </w:rPr>
        <w:t>交易单元管理细则</w:t>
      </w:r>
    </w:p>
    <w:p w14:paraId="169DDCD5" w14:textId="77777777" w:rsidR="00BE6CE3" w:rsidRDefault="00BE6CE3" w:rsidP="00F631F7">
      <w:pPr>
        <w:spacing w:before="240" w:after="240" w:line="580" w:lineRule="exact"/>
        <w:jc w:val="center"/>
        <w:rPr>
          <w:rFonts w:ascii="Times New Roman" w:eastAsia="楷体" w:hAnsi="Times New Roman"/>
          <w:sz w:val="32"/>
          <w:szCs w:val="32"/>
        </w:rPr>
      </w:pPr>
    </w:p>
    <w:p w14:paraId="5EC94ADB" w14:textId="1E3E4727" w:rsidR="001E472B" w:rsidRPr="00363008" w:rsidRDefault="00363008" w:rsidP="00F631F7">
      <w:pPr>
        <w:spacing w:before="240" w:after="240" w:line="580" w:lineRule="exact"/>
        <w:jc w:val="center"/>
        <w:rPr>
          <w:rFonts w:ascii="黑体" w:eastAsia="黑体" w:hAnsi="黑体"/>
          <w:sz w:val="32"/>
          <w:szCs w:val="32"/>
        </w:rPr>
      </w:pPr>
      <w:r w:rsidRPr="00363008">
        <w:rPr>
          <w:rFonts w:ascii="黑体" w:eastAsia="黑体" w:hAnsi="黑体" w:hint="eastAsia"/>
          <w:sz w:val="32"/>
          <w:szCs w:val="32"/>
        </w:rPr>
        <w:t>第一章  总</w:t>
      </w:r>
      <w:r w:rsidR="001E472B">
        <w:rPr>
          <w:rFonts w:ascii="黑体" w:eastAsia="黑体" w:hAnsi="黑体" w:hint="eastAsia"/>
          <w:sz w:val="32"/>
          <w:szCs w:val="32"/>
        </w:rPr>
        <w:t xml:space="preserve">  </w:t>
      </w:r>
      <w:r w:rsidRPr="00363008">
        <w:rPr>
          <w:rFonts w:ascii="黑体" w:eastAsia="黑体" w:hAnsi="黑体" w:hint="eastAsia"/>
          <w:sz w:val="32"/>
          <w:szCs w:val="32"/>
        </w:rPr>
        <w:t>则</w:t>
      </w:r>
    </w:p>
    <w:p w14:paraId="0769CD73" w14:textId="403316A5" w:rsidR="00363008" w:rsidRPr="00363008" w:rsidRDefault="00363008" w:rsidP="001F61ED">
      <w:pPr>
        <w:spacing w:line="580" w:lineRule="exact"/>
        <w:ind w:firstLineChars="200" w:firstLine="640"/>
        <w:rPr>
          <w:rFonts w:ascii="仿宋" w:eastAsia="仿宋" w:hAnsi="仿宋"/>
          <w:sz w:val="32"/>
          <w:szCs w:val="32"/>
        </w:rPr>
      </w:pPr>
      <w:r w:rsidRPr="00363008">
        <w:rPr>
          <w:rFonts w:ascii="黑体" w:eastAsia="黑体" w:hAnsi="黑体" w:hint="eastAsia"/>
          <w:sz w:val="32"/>
          <w:szCs w:val="32"/>
        </w:rPr>
        <w:t>第一条</w:t>
      </w:r>
      <w:r w:rsidR="00246278">
        <w:rPr>
          <w:rFonts w:ascii="黑体" w:eastAsia="黑体" w:hAnsi="黑体" w:hint="eastAsia"/>
          <w:sz w:val="32"/>
          <w:szCs w:val="32"/>
        </w:rPr>
        <w:t xml:space="preserve"> </w:t>
      </w:r>
      <w:r w:rsidR="00F631F7">
        <w:rPr>
          <w:rFonts w:ascii="黑体" w:eastAsia="黑体" w:hAnsi="黑体"/>
          <w:sz w:val="32"/>
          <w:szCs w:val="32"/>
        </w:rPr>
        <w:t xml:space="preserve"> </w:t>
      </w:r>
      <w:r w:rsidRPr="00363008">
        <w:rPr>
          <w:rFonts w:ascii="仿宋" w:eastAsia="仿宋" w:hAnsi="仿宋" w:hint="eastAsia"/>
          <w:sz w:val="32"/>
          <w:szCs w:val="32"/>
        </w:rPr>
        <w:t>为</w:t>
      </w:r>
      <w:r w:rsidR="008850F6">
        <w:rPr>
          <w:rFonts w:ascii="仿宋" w:eastAsia="仿宋" w:hAnsi="仿宋" w:hint="eastAsia"/>
          <w:sz w:val="32"/>
          <w:szCs w:val="32"/>
        </w:rPr>
        <w:t>了</w:t>
      </w:r>
      <w:r w:rsidRPr="00363008">
        <w:rPr>
          <w:rFonts w:ascii="仿宋" w:eastAsia="仿宋" w:hAnsi="仿宋" w:hint="eastAsia"/>
          <w:sz w:val="32"/>
          <w:szCs w:val="32"/>
        </w:rPr>
        <w:t>规范北京证券交易所（以下简称北交所）、全国中小企业</w:t>
      </w:r>
      <w:r w:rsidRPr="00C67C37">
        <w:rPr>
          <w:rFonts w:ascii="Calibri" w:eastAsia="仿宋" w:hAnsi="Calibri" w:cs="Calibri" w:hint="eastAsia"/>
          <w:sz w:val="32"/>
          <w:szCs w:val="32"/>
        </w:rPr>
        <w:t>股份转让</w:t>
      </w:r>
      <w:r w:rsidRPr="00363008">
        <w:rPr>
          <w:rFonts w:ascii="仿宋" w:eastAsia="仿宋" w:hAnsi="仿宋" w:hint="eastAsia"/>
          <w:sz w:val="32"/>
          <w:szCs w:val="32"/>
        </w:rPr>
        <w:t>系统（以下简称全国股转</w:t>
      </w:r>
      <w:r w:rsidR="008850F6">
        <w:rPr>
          <w:rFonts w:ascii="仿宋" w:eastAsia="仿宋" w:hAnsi="仿宋" w:hint="eastAsia"/>
          <w:sz w:val="32"/>
          <w:szCs w:val="32"/>
        </w:rPr>
        <w:t>系统</w:t>
      </w:r>
      <w:r w:rsidRPr="00363008">
        <w:rPr>
          <w:rFonts w:ascii="仿宋" w:eastAsia="仿宋" w:hAnsi="仿宋" w:hint="eastAsia"/>
          <w:sz w:val="32"/>
          <w:szCs w:val="32"/>
        </w:rPr>
        <w:t>）交易单元的管理，维护市场秩序，保障交易安全，根据《北京证券交易所交易规则</w:t>
      </w:r>
      <w:r w:rsidR="003A0D55">
        <w:rPr>
          <w:rFonts w:ascii="仿宋" w:eastAsia="仿宋" w:hAnsi="仿宋" w:hint="eastAsia"/>
          <w:sz w:val="32"/>
          <w:szCs w:val="32"/>
        </w:rPr>
        <w:t>（试行）</w:t>
      </w:r>
      <w:r w:rsidRPr="00363008">
        <w:rPr>
          <w:rFonts w:ascii="仿宋" w:eastAsia="仿宋" w:hAnsi="仿宋" w:hint="eastAsia"/>
          <w:sz w:val="32"/>
          <w:szCs w:val="32"/>
        </w:rPr>
        <w:t>》《北京证券交易所会员管理规则</w:t>
      </w:r>
      <w:r w:rsidR="003A0D55">
        <w:rPr>
          <w:rFonts w:ascii="仿宋" w:eastAsia="仿宋" w:hAnsi="仿宋" w:hint="eastAsia"/>
          <w:sz w:val="32"/>
          <w:szCs w:val="32"/>
        </w:rPr>
        <w:t>（试行）</w:t>
      </w:r>
      <w:r w:rsidRPr="00363008">
        <w:rPr>
          <w:rFonts w:ascii="仿宋" w:eastAsia="仿宋" w:hAnsi="仿宋" w:hint="eastAsia"/>
          <w:sz w:val="32"/>
          <w:szCs w:val="32"/>
        </w:rPr>
        <w:t>》《全国中小企业股份转让系统股票交易规则》《全国中小企业股份转让系统主办券商管理办法</w:t>
      </w:r>
      <w:r w:rsidR="003A0D55" w:rsidRPr="0057605D">
        <w:rPr>
          <w:rFonts w:ascii="仿宋" w:eastAsia="仿宋" w:hAnsi="仿宋" w:hint="eastAsia"/>
          <w:sz w:val="32"/>
          <w:szCs w:val="32"/>
        </w:rPr>
        <w:t>（试行）</w:t>
      </w:r>
      <w:r w:rsidRPr="00363008">
        <w:rPr>
          <w:rFonts w:ascii="仿宋" w:eastAsia="仿宋" w:hAnsi="仿宋" w:hint="eastAsia"/>
          <w:sz w:val="32"/>
          <w:szCs w:val="32"/>
        </w:rPr>
        <w:t>》及其他相关规定，制定本细则。</w:t>
      </w:r>
    </w:p>
    <w:p w14:paraId="00FB785E" w14:textId="02F896A8" w:rsidR="00363008" w:rsidRPr="00363008" w:rsidRDefault="00363008" w:rsidP="001F61ED">
      <w:pPr>
        <w:spacing w:line="580" w:lineRule="exact"/>
        <w:ind w:firstLineChars="200" w:firstLine="640"/>
        <w:rPr>
          <w:rFonts w:ascii="仿宋" w:eastAsia="仿宋" w:hAnsi="仿宋"/>
          <w:sz w:val="32"/>
          <w:szCs w:val="32"/>
        </w:rPr>
      </w:pPr>
      <w:r w:rsidRPr="00363008">
        <w:rPr>
          <w:rFonts w:ascii="黑体" w:eastAsia="黑体" w:hAnsi="黑体" w:hint="eastAsia"/>
          <w:sz w:val="32"/>
          <w:szCs w:val="32"/>
        </w:rPr>
        <w:t>第二条</w:t>
      </w:r>
      <w:r w:rsidR="00246278">
        <w:rPr>
          <w:rFonts w:ascii="黑体" w:eastAsia="黑体" w:hAnsi="黑体" w:hint="eastAsia"/>
          <w:sz w:val="32"/>
          <w:szCs w:val="32"/>
        </w:rPr>
        <w:t xml:space="preserve"> </w:t>
      </w:r>
      <w:r w:rsidR="00F631F7">
        <w:rPr>
          <w:rFonts w:ascii="黑体" w:eastAsia="黑体" w:hAnsi="黑体"/>
          <w:sz w:val="32"/>
          <w:szCs w:val="32"/>
        </w:rPr>
        <w:t xml:space="preserve"> </w:t>
      </w:r>
      <w:r w:rsidRPr="00363008">
        <w:rPr>
          <w:rFonts w:ascii="仿宋" w:eastAsia="仿宋" w:hAnsi="仿宋" w:hint="eastAsia"/>
          <w:sz w:val="32"/>
          <w:szCs w:val="32"/>
        </w:rPr>
        <w:t>北交所和全国股</w:t>
      </w:r>
      <w:proofErr w:type="gramStart"/>
      <w:r w:rsidRPr="00363008">
        <w:rPr>
          <w:rFonts w:ascii="仿宋" w:eastAsia="仿宋" w:hAnsi="仿宋" w:hint="eastAsia"/>
          <w:sz w:val="32"/>
          <w:szCs w:val="32"/>
        </w:rPr>
        <w:t>转系统</w:t>
      </w:r>
      <w:proofErr w:type="gramEnd"/>
      <w:r w:rsidRPr="00363008">
        <w:rPr>
          <w:rFonts w:ascii="仿宋" w:eastAsia="仿宋" w:hAnsi="仿宋" w:hint="eastAsia"/>
          <w:sz w:val="32"/>
          <w:szCs w:val="32"/>
        </w:rPr>
        <w:t>交易单元的管理，适用本细则。本细则未作规定的，适用北交所和全国股</w:t>
      </w:r>
      <w:proofErr w:type="gramStart"/>
      <w:r w:rsidRPr="00363008">
        <w:rPr>
          <w:rFonts w:ascii="仿宋" w:eastAsia="仿宋" w:hAnsi="仿宋" w:hint="eastAsia"/>
          <w:sz w:val="32"/>
          <w:szCs w:val="32"/>
        </w:rPr>
        <w:t>转</w:t>
      </w:r>
      <w:r w:rsidR="008850F6">
        <w:rPr>
          <w:rFonts w:ascii="仿宋" w:eastAsia="仿宋" w:hAnsi="仿宋" w:hint="eastAsia"/>
          <w:sz w:val="32"/>
          <w:szCs w:val="32"/>
        </w:rPr>
        <w:t>系统</w:t>
      </w:r>
      <w:proofErr w:type="gramEnd"/>
      <w:r w:rsidRPr="00363008">
        <w:rPr>
          <w:rFonts w:ascii="仿宋" w:eastAsia="仿宋" w:hAnsi="仿宋" w:hint="eastAsia"/>
          <w:sz w:val="32"/>
          <w:szCs w:val="32"/>
        </w:rPr>
        <w:t>其他有关规定。</w:t>
      </w:r>
    </w:p>
    <w:p w14:paraId="4A455B7B" w14:textId="15B84EED" w:rsidR="00363008" w:rsidRPr="00363008" w:rsidRDefault="00363008" w:rsidP="001F61ED">
      <w:pPr>
        <w:spacing w:line="580" w:lineRule="exact"/>
        <w:ind w:firstLineChars="200" w:firstLine="640"/>
        <w:rPr>
          <w:rFonts w:ascii="仿宋" w:eastAsia="仿宋" w:hAnsi="仿宋"/>
          <w:sz w:val="32"/>
          <w:szCs w:val="32"/>
        </w:rPr>
      </w:pPr>
      <w:r w:rsidRPr="00363008">
        <w:rPr>
          <w:rFonts w:ascii="黑体" w:eastAsia="黑体" w:hAnsi="黑体" w:hint="eastAsia"/>
          <w:sz w:val="32"/>
          <w:szCs w:val="32"/>
        </w:rPr>
        <w:t>第三条</w:t>
      </w:r>
      <w:r w:rsidR="00246278">
        <w:rPr>
          <w:rFonts w:ascii="Calibri" w:eastAsia="仿宋" w:hAnsi="Calibri" w:cs="Calibri"/>
          <w:sz w:val="32"/>
          <w:szCs w:val="32"/>
        </w:rPr>
        <w:t xml:space="preserve"> </w:t>
      </w:r>
      <w:r w:rsidR="00F631F7">
        <w:rPr>
          <w:rFonts w:ascii="Calibri" w:eastAsia="仿宋" w:hAnsi="Calibri" w:cs="Calibri"/>
          <w:sz w:val="32"/>
          <w:szCs w:val="32"/>
        </w:rPr>
        <w:t xml:space="preserve"> </w:t>
      </w:r>
      <w:r w:rsidRPr="00836BB0">
        <w:rPr>
          <w:rFonts w:ascii="仿宋" w:eastAsia="仿宋" w:hAnsi="仿宋" w:hint="eastAsia"/>
          <w:sz w:val="32"/>
          <w:szCs w:val="32"/>
        </w:rPr>
        <w:t>北交所会员、全国股</w:t>
      </w:r>
      <w:proofErr w:type="gramStart"/>
      <w:r w:rsidRPr="00836BB0">
        <w:rPr>
          <w:rFonts w:ascii="仿宋" w:eastAsia="仿宋" w:hAnsi="仿宋" w:hint="eastAsia"/>
          <w:sz w:val="32"/>
          <w:szCs w:val="32"/>
        </w:rPr>
        <w:t>转系统</w:t>
      </w:r>
      <w:proofErr w:type="gramEnd"/>
      <w:r w:rsidRPr="00836BB0">
        <w:rPr>
          <w:rFonts w:ascii="仿宋" w:eastAsia="仿宋" w:hAnsi="仿宋" w:hint="eastAsia"/>
          <w:sz w:val="32"/>
          <w:szCs w:val="32"/>
        </w:rPr>
        <w:t>主办券商（以下统称交易参与人）通过交易单元参与北交所和全国股</w:t>
      </w:r>
      <w:proofErr w:type="gramStart"/>
      <w:r w:rsidRPr="00836BB0">
        <w:rPr>
          <w:rFonts w:ascii="仿宋" w:eastAsia="仿宋" w:hAnsi="仿宋" w:hint="eastAsia"/>
          <w:sz w:val="32"/>
          <w:szCs w:val="32"/>
        </w:rPr>
        <w:t>转系统</w:t>
      </w:r>
      <w:proofErr w:type="gramEnd"/>
      <w:r w:rsidRPr="00836BB0">
        <w:rPr>
          <w:rFonts w:ascii="仿宋" w:eastAsia="仿宋" w:hAnsi="仿宋" w:hint="eastAsia"/>
          <w:sz w:val="32"/>
          <w:szCs w:val="32"/>
        </w:rPr>
        <w:t>证券交易活动的，按照规定行使相关交易权利，获取相关交易</w:t>
      </w:r>
      <w:r w:rsidRPr="00976563">
        <w:rPr>
          <w:rFonts w:ascii="仿宋" w:eastAsia="仿宋" w:hAnsi="仿宋" w:hint="eastAsia"/>
          <w:sz w:val="32"/>
          <w:szCs w:val="32"/>
        </w:rPr>
        <w:t>服务，并接受北交所和</w:t>
      </w:r>
      <w:r w:rsidR="00B03BC4" w:rsidRPr="00976563">
        <w:rPr>
          <w:rFonts w:ascii="仿宋" w:eastAsia="仿宋" w:hAnsi="仿宋" w:hint="eastAsia"/>
          <w:sz w:val="32"/>
          <w:szCs w:val="32"/>
        </w:rPr>
        <w:t>全国中小企业股份转让系统有限</w:t>
      </w:r>
      <w:r w:rsidR="00B03BC4" w:rsidRPr="00976563">
        <w:rPr>
          <w:rFonts w:ascii="仿宋" w:eastAsia="仿宋" w:hAnsi="仿宋"/>
          <w:sz w:val="32"/>
          <w:szCs w:val="32"/>
        </w:rPr>
        <w:t>责任公司（</w:t>
      </w:r>
      <w:r w:rsidR="00B03BC4" w:rsidRPr="00976563">
        <w:rPr>
          <w:rFonts w:ascii="仿宋" w:eastAsia="仿宋" w:hAnsi="仿宋" w:hint="eastAsia"/>
          <w:sz w:val="32"/>
          <w:szCs w:val="32"/>
        </w:rPr>
        <w:t>以下</w:t>
      </w:r>
      <w:r w:rsidR="00B03BC4" w:rsidRPr="00976563">
        <w:rPr>
          <w:rFonts w:ascii="仿宋" w:eastAsia="仿宋" w:hAnsi="仿宋"/>
          <w:sz w:val="32"/>
          <w:szCs w:val="32"/>
        </w:rPr>
        <w:t>简称</w:t>
      </w:r>
      <w:r w:rsidR="00B03BC4" w:rsidRPr="00976563">
        <w:rPr>
          <w:rFonts w:ascii="仿宋" w:eastAsia="仿宋" w:hAnsi="仿宋" w:hint="eastAsia"/>
          <w:sz w:val="32"/>
          <w:szCs w:val="32"/>
        </w:rPr>
        <w:t>全国股转公司</w:t>
      </w:r>
      <w:r w:rsidR="00B03BC4" w:rsidRPr="00976563">
        <w:rPr>
          <w:rFonts w:ascii="仿宋" w:eastAsia="仿宋" w:hAnsi="仿宋"/>
          <w:sz w:val="32"/>
          <w:szCs w:val="32"/>
        </w:rPr>
        <w:t>）</w:t>
      </w:r>
      <w:r w:rsidRPr="00976563">
        <w:rPr>
          <w:rFonts w:ascii="仿宋" w:eastAsia="仿宋" w:hAnsi="仿宋" w:hint="eastAsia"/>
          <w:sz w:val="32"/>
          <w:szCs w:val="32"/>
        </w:rPr>
        <w:t>管理。</w:t>
      </w:r>
    </w:p>
    <w:p w14:paraId="6B49A4C6" w14:textId="7CDBA96E" w:rsidR="001E472B" w:rsidRPr="00363008" w:rsidRDefault="00363008" w:rsidP="00F631F7">
      <w:pPr>
        <w:spacing w:line="580" w:lineRule="exact"/>
        <w:ind w:firstLineChars="200" w:firstLine="640"/>
        <w:rPr>
          <w:rFonts w:ascii="仿宋" w:eastAsia="仿宋" w:hAnsi="仿宋"/>
          <w:sz w:val="32"/>
          <w:szCs w:val="32"/>
        </w:rPr>
      </w:pPr>
      <w:r w:rsidRPr="00363008">
        <w:rPr>
          <w:rFonts w:ascii="黑体" w:eastAsia="黑体" w:hAnsi="黑体" w:hint="eastAsia"/>
          <w:sz w:val="32"/>
          <w:szCs w:val="32"/>
        </w:rPr>
        <w:t>第四条</w:t>
      </w:r>
      <w:r w:rsidR="00246278">
        <w:rPr>
          <w:rFonts w:ascii="Calibri" w:eastAsia="仿宋" w:hAnsi="Calibri" w:cs="Calibri"/>
          <w:sz w:val="32"/>
          <w:szCs w:val="32"/>
        </w:rPr>
        <w:t xml:space="preserve"> </w:t>
      </w:r>
      <w:r w:rsidR="00F631F7">
        <w:rPr>
          <w:rFonts w:ascii="Calibri" w:eastAsia="仿宋" w:hAnsi="Calibri" w:cs="Calibri"/>
          <w:sz w:val="32"/>
          <w:szCs w:val="32"/>
        </w:rPr>
        <w:t xml:space="preserve"> </w:t>
      </w:r>
      <w:r w:rsidRPr="00363008">
        <w:rPr>
          <w:rFonts w:ascii="仿宋" w:eastAsia="仿宋" w:hAnsi="仿宋" w:hint="eastAsia"/>
          <w:sz w:val="32"/>
          <w:szCs w:val="32"/>
        </w:rPr>
        <w:t>交易参与人应当遵守本细则和其他相关规定，制</w:t>
      </w:r>
      <w:r w:rsidRPr="00363008">
        <w:rPr>
          <w:rFonts w:ascii="仿宋" w:eastAsia="仿宋" w:hAnsi="仿宋" w:hint="eastAsia"/>
          <w:sz w:val="32"/>
          <w:szCs w:val="32"/>
        </w:rPr>
        <w:lastRenderedPageBreak/>
        <w:t>定有关交易单元的内部管理制度，规范相关操作流程，防范业务风险，并承担所属交易单元相关证券业务的法律责任。</w:t>
      </w:r>
    </w:p>
    <w:p w14:paraId="03432B62" w14:textId="11FFEBA8" w:rsidR="001E472B" w:rsidRPr="00363008" w:rsidRDefault="00363008" w:rsidP="00F631F7">
      <w:pPr>
        <w:spacing w:before="240" w:after="240" w:line="580" w:lineRule="exact"/>
        <w:jc w:val="center"/>
        <w:rPr>
          <w:rFonts w:ascii="黑体" w:eastAsia="黑体" w:hAnsi="黑体"/>
          <w:sz w:val="32"/>
          <w:szCs w:val="32"/>
        </w:rPr>
      </w:pPr>
      <w:r w:rsidRPr="00363008">
        <w:rPr>
          <w:rFonts w:ascii="黑体" w:eastAsia="黑体" w:hAnsi="黑体" w:hint="eastAsia"/>
          <w:sz w:val="32"/>
          <w:szCs w:val="32"/>
        </w:rPr>
        <w:t>第二章  一般规定</w:t>
      </w:r>
    </w:p>
    <w:p w14:paraId="67F33F4F" w14:textId="7524C8B0" w:rsidR="00363008" w:rsidRPr="00363008" w:rsidRDefault="00363008" w:rsidP="001F61ED">
      <w:pPr>
        <w:spacing w:line="580" w:lineRule="exact"/>
        <w:ind w:firstLineChars="200" w:firstLine="640"/>
        <w:rPr>
          <w:rFonts w:ascii="仿宋" w:eastAsia="仿宋" w:hAnsi="仿宋"/>
          <w:sz w:val="32"/>
          <w:szCs w:val="32"/>
        </w:rPr>
      </w:pPr>
      <w:r w:rsidRPr="00363008">
        <w:rPr>
          <w:rFonts w:ascii="黑体" w:eastAsia="黑体" w:hAnsi="黑体" w:hint="eastAsia"/>
          <w:sz w:val="32"/>
          <w:szCs w:val="32"/>
        </w:rPr>
        <w:t>第五条</w:t>
      </w:r>
      <w:r w:rsidR="00246278">
        <w:rPr>
          <w:rFonts w:ascii="Calibri" w:eastAsia="仿宋" w:hAnsi="Calibri" w:cs="Calibri"/>
          <w:sz w:val="32"/>
          <w:szCs w:val="32"/>
        </w:rPr>
        <w:t xml:space="preserve"> </w:t>
      </w:r>
      <w:r w:rsidR="00F631F7">
        <w:rPr>
          <w:rFonts w:ascii="Calibri" w:eastAsia="仿宋" w:hAnsi="Calibri" w:cs="Calibri"/>
          <w:sz w:val="32"/>
          <w:szCs w:val="32"/>
        </w:rPr>
        <w:t xml:space="preserve"> </w:t>
      </w:r>
      <w:r w:rsidRPr="00363008">
        <w:rPr>
          <w:rFonts w:ascii="仿宋" w:eastAsia="仿宋" w:hAnsi="仿宋" w:hint="eastAsia"/>
          <w:sz w:val="32"/>
          <w:szCs w:val="32"/>
        </w:rPr>
        <w:t>交易参与人设立交易单元后，方可参与北交所和全国股</w:t>
      </w:r>
      <w:proofErr w:type="gramStart"/>
      <w:r w:rsidRPr="00363008">
        <w:rPr>
          <w:rFonts w:ascii="仿宋" w:eastAsia="仿宋" w:hAnsi="仿宋" w:hint="eastAsia"/>
          <w:sz w:val="32"/>
          <w:szCs w:val="32"/>
        </w:rPr>
        <w:t>转系统</w:t>
      </w:r>
      <w:proofErr w:type="gramEnd"/>
      <w:r w:rsidRPr="00363008">
        <w:rPr>
          <w:rFonts w:ascii="仿宋" w:eastAsia="仿宋" w:hAnsi="仿宋" w:hint="eastAsia"/>
          <w:sz w:val="32"/>
          <w:szCs w:val="32"/>
        </w:rPr>
        <w:t>的证券交易。</w:t>
      </w:r>
    </w:p>
    <w:p w14:paraId="79D0AF56" w14:textId="77777777" w:rsidR="00363008" w:rsidRPr="00363008" w:rsidRDefault="00363008" w:rsidP="001F61ED">
      <w:pPr>
        <w:spacing w:line="580" w:lineRule="exact"/>
        <w:ind w:firstLineChars="200" w:firstLine="640"/>
        <w:rPr>
          <w:rFonts w:ascii="仿宋" w:eastAsia="仿宋" w:hAnsi="仿宋"/>
          <w:sz w:val="32"/>
          <w:szCs w:val="32"/>
        </w:rPr>
      </w:pPr>
      <w:r w:rsidRPr="00363008">
        <w:rPr>
          <w:rFonts w:ascii="仿宋" w:eastAsia="仿宋" w:hAnsi="仿宋" w:hint="eastAsia"/>
          <w:sz w:val="32"/>
          <w:szCs w:val="32"/>
        </w:rPr>
        <w:t>交易参与人可根据业务需要</w:t>
      </w:r>
      <w:proofErr w:type="gramStart"/>
      <w:r w:rsidRPr="00363008">
        <w:rPr>
          <w:rFonts w:ascii="仿宋" w:eastAsia="仿宋" w:hAnsi="仿宋" w:hint="eastAsia"/>
          <w:sz w:val="32"/>
          <w:szCs w:val="32"/>
        </w:rPr>
        <w:t>向北交</w:t>
      </w:r>
      <w:proofErr w:type="gramEnd"/>
      <w:r w:rsidRPr="00363008">
        <w:rPr>
          <w:rFonts w:ascii="仿宋" w:eastAsia="仿宋" w:hAnsi="仿宋" w:hint="eastAsia"/>
          <w:sz w:val="32"/>
          <w:szCs w:val="32"/>
        </w:rPr>
        <w:t>所和全国股转公司申请设立一个或一个以上的交易单元。</w:t>
      </w:r>
    </w:p>
    <w:p w14:paraId="55E36DD4" w14:textId="1F33F243" w:rsidR="00363008" w:rsidRPr="00363008" w:rsidRDefault="00363008" w:rsidP="001F61ED">
      <w:pPr>
        <w:spacing w:line="580" w:lineRule="exact"/>
        <w:ind w:firstLineChars="200" w:firstLine="640"/>
        <w:rPr>
          <w:rFonts w:ascii="仿宋" w:eastAsia="仿宋" w:hAnsi="仿宋"/>
          <w:sz w:val="32"/>
          <w:szCs w:val="32"/>
        </w:rPr>
      </w:pPr>
      <w:r w:rsidRPr="00363008">
        <w:rPr>
          <w:rFonts w:ascii="黑体" w:eastAsia="黑体" w:hAnsi="黑体" w:hint="eastAsia"/>
          <w:sz w:val="32"/>
          <w:szCs w:val="32"/>
        </w:rPr>
        <w:t>第六条</w:t>
      </w:r>
      <w:r w:rsidR="00246278">
        <w:rPr>
          <w:rFonts w:ascii="Calibri" w:eastAsia="仿宋" w:hAnsi="Calibri" w:cs="Calibri"/>
          <w:sz w:val="32"/>
          <w:szCs w:val="32"/>
        </w:rPr>
        <w:t xml:space="preserve"> </w:t>
      </w:r>
      <w:r w:rsidR="00F631F7">
        <w:rPr>
          <w:rFonts w:ascii="Calibri" w:eastAsia="仿宋" w:hAnsi="Calibri" w:cs="Calibri"/>
          <w:sz w:val="32"/>
          <w:szCs w:val="32"/>
        </w:rPr>
        <w:t xml:space="preserve"> </w:t>
      </w:r>
      <w:r w:rsidRPr="00363008">
        <w:rPr>
          <w:rFonts w:ascii="仿宋" w:eastAsia="仿宋" w:hAnsi="仿宋" w:hint="eastAsia"/>
          <w:sz w:val="32"/>
          <w:szCs w:val="32"/>
        </w:rPr>
        <w:t>交易参与人从事证券经纪、证券自营、证券做市交易、证券融资融券和证券资产管理等业务，</w:t>
      </w:r>
      <w:r w:rsidR="0057605D">
        <w:rPr>
          <w:rFonts w:ascii="仿宋" w:eastAsia="仿宋" w:hAnsi="仿宋" w:hint="eastAsia"/>
          <w:sz w:val="32"/>
          <w:szCs w:val="32"/>
        </w:rPr>
        <w:t>应当</w:t>
      </w:r>
      <w:r w:rsidR="0057605D">
        <w:rPr>
          <w:rFonts w:ascii="仿宋" w:eastAsia="仿宋" w:hAnsi="仿宋"/>
          <w:sz w:val="32"/>
          <w:szCs w:val="32"/>
        </w:rPr>
        <w:t>使用不同的交易单元，</w:t>
      </w:r>
      <w:r w:rsidRPr="00363008">
        <w:rPr>
          <w:rFonts w:ascii="仿宋" w:eastAsia="仿宋" w:hAnsi="仿宋" w:hint="eastAsia"/>
          <w:sz w:val="32"/>
          <w:szCs w:val="32"/>
        </w:rPr>
        <w:t>但北交所或全国股转公司另有规定的除外。</w:t>
      </w:r>
    </w:p>
    <w:p w14:paraId="031C5E36" w14:textId="26E1C497" w:rsidR="00826FD3" w:rsidRDefault="00363008" w:rsidP="001F61ED">
      <w:pPr>
        <w:spacing w:line="580" w:lineRule="exact"/>
        <w:ind w:firstLineChars="200" w:firstLine="640"/>
        <w:rPr>
          <w:rFonts w:ascii="仿宋" w:eastAsia="仿宋" w:hAnsi="仿宋"/>
          <w:sz w:val="32"/>
          <w:szCs w:val="32"/>
        </w:rPr>
      </w:pPr>
      <w:r w:rsidRPr="00363008">
        <w:rPr>
          <w:rFonts w:ascii="黑体" w:eastAsia="黑体" w:hAnsi="黑体" w:hint="eastAsia"/>
          <w:sz w:val="32"/>
          <w:szCs w:val="32"/>
        </w:rPr>
        <w:t>第七条</w:t>
      </w:r>
      <w:r w:rsidR="00246278">
        <w:rPr>
          <w:rFonts w:ascii="Calibri" w:eastAsia="仿宋" w:hAnsi="Calibri" w:cs="Calibri"/>
          <w:sz w:val="32"/>
          <w:szCs w:val="32"/>
        </w:rPr>
        <w:t xml:space="preserve"> </w:t>
      </w:r>
      <w:r w:rsidR="00F631F7">
        <w:rPr>
          <w:rFonts w:ascii="Calibri" w:eastAsia="仿宋" w:hAnsi="Calibri" w:cs="Calibri"/>
          <w:sz w:val="32"/>
          <w:szCs w:val="32"/>
        </w:rPr>
        <w:t xml:space="preserve"> </w:t>
      </w:r>
      <w:r w:rsidRPr="00363008">
        <w:rPr>
          <w:rFonts w:ascii="仿宋" w:eastAsia="仿宋" w:hAnsi="仿宋" w:hint="eastAsia"/>
          <w:sz w:val="32"/>
          <w:szCs w:val="32"/>
        </w:rPr>
        <w:t>北交所和全国股转公司根据交易参与人的申请和业务范围，为其设立的交易单元设定下列交易或业务权限：</w:t>
      </w:r>
    </w:p>
    <w:p w14:paraId="22E4B58D" w14:textId="77777777" w:rsidR="00826FD3" w:rsidRDefault="00363008" w:rsidP="001F61ED">
      <w:pPr>
        <w:spacing w:line="580" w:lineRule="exact"/>
        <w:ind w:firstLineChars="200" w:firstLine="640"/>
        <w:rPr>
          <w:rFonts w:ascii="仿宋" w:eastAsia="仿宋" w:hAnsi="仿宋"/>
          <w:sz w:val="32"/>
          <w:szCs w:val="32"/>
        </w:rPr>
      </w:pPr>
      <w:r w:rsidRPr="00363008">
        <w:rPr>
          <w:rFonts w:ascii="仿宋" w:eastAsia="仿宋" w:hAnsi="仿宋" w:hint="eastAsia"/>
          <w:sz w:val="32"/>
          <w:szCs w:val="32"/>
        </w:rPr>
        <w:t>（一）参与不同类别证券品种的交易；</w:t>
      </w:r>
    </w:p>
    <w:p w14:paraId="34D59482" w14:textId="3B15B804" w:rsidR="00363008" w:rsidRPr="003370C5" w:rsidRDefault="00363008" w:rsidP="001F61ED">
      <w:pPr>
        <w:spacing w:line="580" w:lineRule="exact"/>
        <w:ind w:firstLineChars="200" w:firstLine="640"/>
        <w:rPr>
          <w:rFonts w:ascii="仿宋" w:eastAsia="仿宋" w:hAnsi="仿宋"/>
          <w:sz w:val="32"/>
          <w:szCs w:val="32"/>
        </w:rPr>
      </w:pPr>
      <w:r w:rsidRPr="003370C5">
        <w:rPr>
          <w:rFonts w:ascii="仿宋" w:eastAsia="仿宋" w:hAnsi="仿宋" w:hint="eastAsia"/>
          <w:sz w:val="32"/>
          <w:szCs w:val="32"/>
        </w:rPr>
        <w:t>（二）参与不同类型的交易申报；</w:t>
      </w:r>
    </w:p>
    <w:p w14:paraId="52B78C43" w14:textId="566BC75A" w:rsidR="0075065C" w:rsidRDefault="00363008" w:rsidP="001F61ED">
      <w:pPr>
        <w:spacing w:line="580" w:lineRule="exact"/>
        <w:ind w:firstLine="645"/>
        <w:rPr>
          <w:rFonts w:ascii="仿宋" w:eastAsia="仿宋" w:hAnsi="仿宋"/>
          <w:sz w:val="32"/>
          <w:szCs w:val="32"/>
        </w:rPr>
      </w:pPr>
      <w:r w:rsidRPr="003370C5">
        <w:rPr>
          <w:rFonts w:ascii="仿宋" w:eastAsia="仿宋" w:hAnsi="仿宋" w:hint="eastAsia"/>
          <w:sz w:val="32"/>
          <w:szCs w:val="32"/>
        </w:rPr>
        <w:t>（三）</w:t>
      </w:r>
      <w:r w:rsidR="0075065C" w:rsidRPr="003370C5">
        <w:rPr>
          <w:rFonts w:ascii="仿宋" w:eastAsia="仿宋" w:hAnsi="仿宋" w:hint="eastAsia"/>
          <w:sz w:val="32"/>
          <w:szCs w:val="32"/>
        </w:rPr>
        <w:t>参与</w:t>
      </w:r>
      <w:r w:rsidR="0075065C" w:rsidRPr="003370C5">
        <w:rPr>
          <w:rFonts w:ascii="仿宋" w:eastAsia="仿宋" w:hAnsi="仿宋"/>
          <w:sz w:val="32"/>
          <w:szCs w:val="32"/>
        </w:rPr>
        <w:t>特定证券的做市申报；</w:t>
      </w:r>
    </w:p>
    <w:p w14:paraId="00AF2056" w14:textId="6A81D447" w:rsidR="00363008" w:rsidRPr="00363008" w:rsidRDefault="0075065C" w:rsidP="001F61ED">
      <w:pPr>
        <w:spacing w:line="580" w:lineRule="exact"/>
        <w:ind w:firstLine="645"/>
        <w:rPr>
          <w:rFonts w:ascii="仿宋" w:eastAsia="仿宋" w:hAnsi="仿宋"/>
          <w:sz w:val="32"/>
          <w:szCs w:val="32"/>
        </w:rPr>
      </w:pPr>
      <w:r>
        <w:rPr>
          <w:rFonts w:ascii="仿宋" w:eastAsia="仿宋" w:hAnsi="仿宋" w:hint="eastAsia"/>
          <w:sz w:val="32"/>
          <w:szCs w:val="32"/>
        </w:rPr>
        <w:t>（四）</w:t>
      </w:r>
      <w:r w:rsidR="00363008" w:rsidRPr="00363008">
        <w:rPr>
          <w:rFonts w:ascii="仿宋" w:eastAsia="仿宋" w:hAnsi="仿宋" w:hint="eastAsia"/>
          <w:sz w:val="32"/>
          <w:szCs w:val="32"/>
        </w:rPr>
        <w:t>其他交易或业务权限。</w:t>
      </w:r>
    </w:p>
    <w:p w14:paraId="5978464D" w14:textId="3E3F9CF0" w:rsidR="00363008" w:rsidRPr="00363008" w:rsidRDefault="00363008" w:rsidP="001F61ED">
      <w:pPr>
        <w:spacing w:line="580" w:lineRule="exact"/>
        <w:ind w:firstLineChars="200" w:firstLine="640"/>
        <w:rPr>
          <w:rFonts w:ascii="仿宋" w:eastAsia="仿宋" w:hAnsi="仿宋"/>
          <w:sz w:val="32"/>
          <w:szCs w:val="32"/>
        </w:rPr>
      </w:pPr>
      <w:r w:rsidRPr="00363008">
        <w:rPr>
          <w:rFonts w:ascii="黑体" w:eastAsia="黑体" w:hAnsi="黑体" w:hint="eastAsia"/>
          <w:sz w:val="32"/>
          <w:szCs w:val="32"/>
        </w:rPr>
        <w:t>第八条</w:t>
      </w:r>
      <w:r w:rsidR="00246278">
        <w:rPr>
          <w:rFonts w:ascii="Calibri" w:eastAsia="仿宋" w:hAnsi="Calibri" w:cs="Calibri"/>
          <w:sz w:val="32"/>
          <w:szCs w:val="32"/>
        </w:rPr>
        <w:t xml:space="preserve"> </w:t>
      </w:r>
      <w:r w:rsidR="00F631F7">
        <w:rPr>
          <w:rFonts w:ascii="Calibri" w:eastAsia="仿宋" w:hAnsi="Calibri" w:cs="Calibri"/>
          <w:sz w:val="32"/>
          <w:szCs w:val="32"/>
        </w:rPr>
        <w:t xml:space="preserve"> </w:t>
      </w:r>
      <w:r w:rsidRPr="00363008">
        <w:rPr>
          <w:rFonts w:ascii="仿宋" w:eastAsia="仿宋" w:hAnsi="仿宋" w:hint="eastAsia"/>
          <w:sz w:val="32"/>
          <w:szCs w:val="32"/>
        </w:rPr>
        <w:t>北交所和全国股转公司可以根据交易参与人的风险承受能力、技术系统、内部控制、业务资格变化及遵守规则的情况等，调整或取消相关交易或业务权限。</w:t>
      </w:r>
    </w:p>
    <w:p w14:paraId="762DE79D" w14:textId="297472FD" w:rsidR="00363008" w:rsidRPr="00363008" w:rsidRDefault="00363008" w:rsidP="001F61ED">
      <w:pPr>
        <w:spacing w:line="580" w:lineRule="exact"/>
        <w:ind w:firstLineChars="200" w:firstLine="640"/>
        <w:rPr>
          <w:rFonts w:ascii="仿宋" w:eastAsia="仿宋" w:hAnsi="仿宋"/>
          <w:sz w:val="32"/>
          <w:szCs w:val="32"/>
        </w:rPr>
      </w:pPr>
      <w:r w:rsidRPr="00363008">
        <w:rPr>
          <w:rFonts w:ascii="黑体" w:eastAsia="黑体" w:hAnsi="黑体" w:hint="eastAsia"/>
          <w:sz w:val="32"/>
          <w:szCs w:val="32"/>
        </w:rPr>
        <w:t>第九条</w:t>
      </w:r>
      <w:r w:rsidR="00246278">
        <w:rPr>
          <w:rFonts w:ascii="Calibri" w:eastAsia="仿宋" w:hAnsi="Calibri" w:cs="Calibri"/>
          <w:sz w:val="32"/>
          <w:szCs w:val="32"/>
        </w:rPr>
        <w:t xml:space="preserve"> </w:t>
      </w:r>
      <w:r w:rsidR="00F631F7">
        <w:rPr>
          <w:rFonts w:ascii="Calibri" w:eastAsia="仿宋" w:hAnsi="Calibri" w:cs="Calibri"/>
          <w:sz w:val="32"/>
          <w:szCs w:val="32"/>
        </w:rPr>
        <w:t xml:space="preserve"> </w:t>
      </w:r>
      <w:r w:rsidRPr="00363008">
        <w:rPr>
          <w:rFonts w:ascii="仿宋" w:eastAsia="仿宋" w:hAnsi="仿宋" w:hint="eastAsia"/>
          <w:sz w:val="32"/>
          <w:szCs w:val="32"/>
        </w:rPr>
        <w:t>根据交易参与人的申请，北交所和全国股转公司可以为其交易单元设置以下使用交易系统资源和获取交易系统服务的功能：</w:t>
      </w:r>
    </w:p>
    <w:p w14:paraId="5A1B7010" w14:textId="77777777" w:rsidR="00363008" w:rsidRPr="00363008" w:rsidRDefault="00363008" w:rsidP="001F61ED">
      <w:pPr>
        <w:spacing w:line="580" w:lineRule="exact"/>
        <w:ind w:firstLineChars="200" w:firstLine="640"/>
        <w:rPr>
          <w:rFonts w:ascii="仿宋" w:eastAsia="仿宋" w:hAnsi="仿宋"/>
          <w:sz w:val="32"/>
          <w:szCs w:val="32"/>
        </w:rPr>
      </w:pPr>
      <w:r w:rsidRPr="00363008">
        <w:rPr>
          <w:rFonts w:ascii="仿宋" w:eastAsia="仿宋" w:hAnsi="仿宋" w:hint="eastAsia"/>
          <w:sz w:val="32"/>
          <w:szCs w:val="32"/>
        </w:rPr>
        <w:lastRenderedPageBreak/>
        <w:t>（一）申报买卖指令及其他业务指令；</w:t>
      </w:r>
    </w:p>
    <w:p w14:paraId="69A703BB" w14:textId="77777777" w:rsidR="00363008" w:rsidRPr="00363008" w:rsidRDefault="00363008" w:rsidP="001F61ED">
      <w:pPr>
        <w:spacing w:line="580" w:lineRule="exact"/>
        <w:ind w:firstLineChars="200" w:firstLine="640"/>
        <w:rPr>
          <w:rFonts w:ascii="仿宋" w:eastAsia="仿宋" w:hAnsi="仿宋"/>
          <w:sz w:val="32"/>
          <w:szCs w:val="32"/>
        </w:rPr>
      </w:pPr>
      <w:r w:rsidRPr="00363008">
        <w:rPr>
          <w:rFonts w:ascii="仿宋" w:eastAsia="仿宋" w:hAnsi="仿宋" w:hint="eastAsia"/>
          <w:sz w:val="32"/>
          <w:szCs w:val="32"/>
        </w:rPr>
        <w:t>（二）获取实时及盘后交易回报；</w:t>
      </w:r>
    </w:p>
    <w:p w14:paraId="474708AE" w14:textId="77777777" w:rsidR="00363008" w:rsidRPr="00363008" w:rsidRDefault="00363008" w:rsidP="001F61ED">
      <w:pPr>
        <w:spacing w:line="580" w:lineRule="exact"/>
        <w:ind w:firstLineChars="200" w:firstLine="640"/>
        <w:rPr>
          <w:rFonts w:ascii="仿宋" w:eastAsia="仿宋" w:hAnsi="仿宋"/>
          <w:sz w:val="32"/>
          <w:szCs w:val="32"/>
        </w:rPr>
      </w:pPr>
      <w:r w:rsidRPr="00363008">
        <w:rPr>
          <w:rFonts w:ascii="仿宋" w:eastAsia="仿宋" w:hAnsi="仿宋" w:hint="eastAsia"/>
          <w:sz w:val="32"/>
          <w:szCs w:val="32"/>
        </w:rPr>
        <w:t>（三）获取证券交易即时行情、证券交易公开信息等交易信息及相关新闻公告；</w:t>
      </w:r>
    </w:p>
    <w:p w14:paraId="0B24DCB2" w14:textId="77777777" w:rsidR="00363008" w:rsidRPr="00363008" w:rsidRDefault="00363008" w:rsidP="001F61ED">
      <w:pPr>
        <w:spacing w:line="580" w:lineRule="exact"/>
        <w:ind w:firstLineChars="200" w:firstLine="640"/>
        <w:rPr>
          <w:rFonts w:ascii="仿宋" w:eastAsia="仿宋" w:hAnsi="仿宋"/>
          <w:sz w:val="32"/>
          <w:szCs w:val="32"/>
        </w:rPr>
      </w:pPr>
      <w:r w:rsidRPr="00363008">
        <w:rPr>
          <w:rFonts w:ascii="仿宋" w:eastAsia="仿宋" w:hAnsi="仿宋" w:hint="eastAsia"/>
          <w:sz w:val="32"/>
          <w:szCs w:val="32"/>
        </w:rPr>
        <w:t>（四）获取交易系统提供的其他服务。</w:t>
      </w:r>
    </w:p>
    <w:p w14:paraId="20335835" w14:textId="736C188B" w:rsidR="00363008" w:rsidRPr="00363008" w:rsidRDefault="00363008" w:rsidP="001F61ED">
      <w:pPr>
        <w:spacing w:line="580" w:lineRule="exact"/>
        <w:ind w:firstLineChars="200" w:firstLine="640"/>
        <w:rPr>
          <w:rFonts w:ascii="仿宋" w:eastAsia="仿宋" w:hAnsi="仿宋"/>
          <w:sz w:val="32"/>
          <w:szCs w:val="32"/>
        </w:rPr>
      </w:pPr>
      <w:r w:rsidRPr="00363008">
        <w:rPr>
          <w:rFonts w:ascii="黑体" w:eastAsia="黑体" w:hAnsi="黑体" w:hint="eastAsia"/>
          <w:sz w:val="32"/>
          <w:szCs w:val="32"/>
        </w:rPr>
        <w:t>第十条</w:t>
      </w:r>
      <w:r w:rsidR="00246278">
        <w:rPr>
          <w:rFonts w:ascii="Calibri" w:eastAsia="仿宋" w:hAnsi="Calibri" w:cs="Calibri"/>
          <w:sz w:val="32"/>
          <w:szCs w:val="32"/>
        </w:rPr>
        <w:t xml:space="preserve"> </w:t>
      </w:r>
      <w:r w:rsidR="00F631F7">
        <w:rPr>
          <w:rFonts w:ascii="Calibri" w:eastAsia="仿宋" w:hAnsi="Calibri" w:cs="Calibri"/>
          <w:sz w:val="32"/>
          <w:szCs w:val="32"/>
        </w:rPr>
        <w:t xml:space="preserve"> </w:t>
      </w:r>
      <w:r w:rsidRPr="00363008">
        <w:rPr>
          <w:rFonts w:ascii="仿宋" w:eastAsia="仿宋" w:hAnsi="仿宋" w:hint="eastAsia"/>
          <w:sz w:val="32"/>
          <w:szCs w:val="32"/>
        </w:rPr>
        <w:t>根据交易参与人的申请及市场风险控制的相关规定，北交所和全国股转公司可以为其交易单元设置以下限制：</w:t>
      </w:r>
    </w:p>
    <w:p w14:paraId="6CCB9DED" w14:textId="6D1228CB" w:rsidR="00363008" w:rsidRPr="00363008" w:rsidRDefault="00363008" w:rsidP="001F61ED">
      <w:pPr>
        <w:spacing w:line="580" w:lineRule="exact"/>
        <w:ind w:firstLineChars="200" w:firstLine="640"/>
        <w:rPr>
          <w:rFonts w:ascii="仿宋" w:eastAsia="仿宋" w:hAnsi="仿宋"/>
          <w:sz w:val="32"/>
          <w:szCs w:val="32"/>
        </w:rPr>
      </w:pPr>
      <w:r w:rsidRPr="00363008">
        <w:rPr>
          <w:rFonts w:ascii="仿宋" w:eastAsia="仿宋" w:hAnsi="仿宋" w:hint="eastAsia"/>
          <w:sz w:val="32"/>
          <w:szCs w:val="32"/>
        </w:rPr>
        <w:t>（一）买入与卖出的交易方向限制；</w:t>
      </w:r>
    </w:p>
    <w:p w14:paraId="5A768189" w14:textId="6CB3E350" w:rsidR="00363008" w:rsidRPr="00363008" w:rsidRDefault="00363008" w:rsidP="001F61ED">
      <w:pPr>
        <w:spacing w:line="580" w:lineRule="exact"/>
        <w:ind w:firstLineChars="200" w:firstLine="640"/>
        <w:rPr>
          <w:rFonts w:ascii="仿宋" w:eastAsia="仿宋" w:hAnsi="仿宋"/>
          <w:sz w:val="32"/>
          <w:szCs w:val="32"/>
        </w:rPr>
      </w:pPr>
      <w:r w:rsidRPr="00363008">
        <w:rPr>
          <w:rFonts w:ascii="仿宋" w:eastAsia="仿宋" w:hAnsi="仿宋" w:hint="eastAsia"/>
          <w:sz w:val="32"/>
          <w:szCs w:val="32"/>
        </w:rPr>
        <w:t>（二）特定品种的交易限制；</w:t>
      </w:r>
    </w:p>
    <w:p w14:paraId="0F54491A" w14:textId="4C245FBC" w:rsidR="00363008" w:rsidRPr="00363008" w:rsidRDefault="00363008" w:rsidP="001F61ED">
      <w:pPr>
        <w:spacing w:line="580" w:lineRule="exact"/>
        <w:ind w:firstLineChars="200" w:firstLine="640"/>
        <w:rPr>
          <w:rFonts w:ascii="仿宋" w:eastAsia="仿宋" w:hAnsi="仿宋"/>
          <w:sz w:val="32"/>
          <w:szCs w:val="32"/>
        </w:rPr>
      </w:pPr>
      <w:r w:rsidRPr="00363008">
        <w:rPr>
          <w:rFonts w:ascii="仿宋" w:eastAsia="仿宋" w:hAnsi="仿宋" w:hint="eastAsia"/>
          <w:sz w:val="32"/>
          <w:szCs w:val="32"/>
        </w:rPr>
        <w:t>（三）与市场风险控制相关的其他行为限制。</w:t>
      </w:r>
    </w:p>
    <w:p w14:paraId="2F85263D" w14:textId="14F67506" w:rsidR="00363008" w:rsidRPr="00363008" w:rsidRDefault="00363008" w:rsidP="001F61ED">
      <w:pPr>
        <w:spacing w:line="580" w:lineRule="exact"/>
        <w:ind w:firstLineChars="200" w:firstLine="640"/>
        <w:rPr>
          <w:rFonts w:ascii="仿宋" w:eastAsia="仿宋" w:hAnsi="仿宋"/>
          <w:sz w:val="32"/>
          <w:szCs w:val="32"/>
        </w:rPr>
      </w:pPr>
      <w:r w:rsidRPr="00363008">
        <w:rPr>
          <w:rFonts w:ascii="黑体" w:eastAsia="黑体" w:hAnsi="黑体" w:hint="eastAsia"/>
          <w:sz w:val="32"/>
          <w:szCs w:val="32"/>
        </w:rPr>
        <w:t>第十一条</w:t>
      </w:r>
      <w:r w:rsidR="00246278">
        <w:rPr>
          <w:rFonts w:ascii="Calibri" w:eastAsia="仿宋" w:hAnsi="Calibri" w:cs="Calibri"/>
          <w:sz w:val="32"/>
          <w:szCs w:val="32"/>
        </w:rPr>
        <w:t xml:space="preserve"> </w:t>
      </w:r>
      <w:r w:rsidR="00F631F7">
        <w:rPr>
          <w:rFonts w:ascii="Calibri" w:eastAsia="仿宋" w:hAnsi="Calibri" w:cs="Calibri"/>
          <w:sz w:val="32"/>
          <w:szCs w:val="32"/>
        </w:rPr>
        <w:t xml:space="preserve"> </w:t>
      </w:r>
      <w:r w:rsidRPr="00363008">
        <w:rPr>
          <w:rFonts w:ascii="仿宋" w:eastAsia="仿宋" w:hAnsi="仿宋" w:hint="eastAsia"/>
          <w:sz w:val="32"/>
          <w:szCs w:val="32"/>
        </w:rPr>
        <w:t xml:space="preserve">交易参与人设立的交易单元通过网关与交易系统连接。交易参与人可通过多个网关进行一个交易单元的交易申报，也可通过一个网关进行多个交易单元的交易申报，但不得通过其他交易参与人的网关进行交易申报。 </w:t>
      </w:r>
    </w:p>
    <w:p w14:paraId="2218CA0E" w14:textId="4DF429A4" w:rsidR="00363008" w:rsidRPr="00363008" w:rsidRDefault="00363008" w:rsidP="001F61ED">
      <w:pPr>
        <w:spacing w:line="580" w:lineRule="exact"/>
        <w:ind w:firstLineChars="200" w:firstLine="640"/>
        <w:rPr>
          <w:rFonts w:ascii="仿宋" w:eastAsia="仿宋" w:hAnsi="仿宋"/>
          <w:sz w:val="32"/>
          <w:szCs w:val="32"/>
        </w:rPr>
      </w:pPr>
      <w:r w:rsidRPr="00363008">
        <w:rPr>
          <w:rFonts w:ascii="黑体" w:eastAsia="黑体" w:hAnsi="黑体" w:hint="eastAsia"/>
          <w:sz w:val="32"/>
          <w:szCs w:val="32"/>
        </w:rPr>
        <w:t>第十二条</w:t>
      </w:r>
      <w:r w:rsidR="00246278">
        <w:rPr>
          <w:rFonts w:ascii="Calibri" w:eastAsia="仿宋" w:hAnsi="Calibri" w:cs="Calibri"/>
          <w:sz w:val="32"/>
          <w:szCs w:val="32"/>
        </w:rPr>
        <w:t xml:space="preserve"> </w:t>
      </w:r>
      <w:r w:rsidR="00F631F7">
        <w:rPr>
          <w:rFonts w:ascii="Calibri" w:eastAsia="仿宋" w:hAnsi="Calibri" w:cs="Calibri"/>
          <w:sz w:val="32"/>
          <w:szCs w:val="32"/>
        </w:rPr>
        <w:t xml:space="preserve"> </w:t>
      </w:r>
      <w:r w:rsidRPr="00363008">
        <w:rPr>
          <w:rFonts w:ascii="仿宋" w:eastAsia="仿宋" w:hAnsi="仿宋" w:hint="eastAsia"/>
          <w:sz w:val="32"/>
          <w:szCs w:val="32"/>
        </w:rPr>
        <w:t>北交所和全国股转公司为交易参与人设立的每个交易单元自动配备一个免费标准流速。交易参与人可申请一个以上的标准流速，并可将所拥有的总流速配置到一个或一个以上的网关上。</w:t>
      </w:r>
    </w:p>
    <w:p w14:paraId="73DF9291" w14:textId="2AEE56D7" w:rsidR="001E472B" w:rsidRPr="00363008" w:rsidRDefault="00896CF1" w:rsidP="00F631F7">
      <w:pPr>
        <w:spacing w:line="580" w:lineRule="exact"/>
        <w:ind w:firstLineChars="200" w:firstLine="640"/>
        <w:rPr>
          <w:rFonts w:ascii="仿宋" w:eastAsia="仿宋" w:hAnsi="仿宋"/>
          <w:sz w:val="32"/>
          <w:szCs w:val="32"/>
        </w:rPr>
      </w:pPr>
      <w:r w:rsidRPr="00363008">
        <w:rPr>
          <w:rFonts w:ascii="仿宋" w:eastAsia="仿宋" w:hAnsi="仿宋" w:hint="eastAsia"/>
          <w:sz w:val="32"/>
          <w:szCs w:val="32"/>
        </w:rPr>
        <w:t>一个标准流速为每秒</w:t>
      </w:r>
      <w:r w:rsidRPr="001F61ED">
        <w:rPr>
          <w:rFonts w:ascii="Times New Roman" w:eastAsia="仿宋" w:hAnsi="Times New Roman" w:cs="Times New Roman"/>
          <w:sz w:val="32"/>
          <w:szCs w:val="32"/>
        </w:rPr>
        <w:t>10</w:t>
      </w:r>
      <w:r w:rsidRPr="00363008">
        <w:rPr>
          <w:rFonts w:ascii="仿宋" w:eastAsia="仿宋" w:hAnsi="仿宋" w:hint="eastAsia"/>
          <w:sz w:val="32"/>
          <w:szCs w:val="32"/>
        </w:rPr>
        <w:t>笔，</w:t>
      </w:r>
      <w:r>
        <w:rPr>
          <w:rFonts w:ascii="仿宋" w:eastAsia="仿宋" w:hAnsi="仿宋" w:hint="eastAsia"/>
          <w:sz w:val="32"/>
          <w:szCs w:val="32"/>
        </w:rPr>
        <w:t>配置到网关</w:t>
      </w:r>
      <w:r>
        <w:rPr>
          <w:rFonts w:ascii="仿宋" w:eastAsia="仿宋" w:hAnsi="仿宋"/>
          <w:sz w:val="32"/>
          <w:szCs w:val="32"/>
        </w:rPr>
        <w:t>上的流速应当为标准流速的整数</w:t>
      </w:r>
      <w:proofErr w:type="gramStart"/>
      <w:r>
        <w:rPr>
          <w:rFonts w:ascii="仿宋" w:eastAsia="仿宋" w:hAnsi="仿宋"/>
          <w:sz w:val="32"/>
          <w:szCs w:val="32"/>
        </w:rPr>
        <w:t>倍</w:t>
      </w:r>
      <w:proofErr w:type="gramEnd"/>
      <w:r>
        <w:rPr>
          <w:rFonts w:ascii="仿宋" w:eastAsia="仿宋" w:hAnsi="仿宋"/>
          <w:sz w:val="32"/>
          <w:szCs w:val="32"/>
        </w:rPr>
        <w:t>，单个网关最多可配置</w:t>
      </w:r>
      <w:r w:rsidRPr="001F61ED">
        <w:rPr>
          <w:rFonts w:ascii="Times New Roman" w:eastAsia="仿宋" w:hAnsi="Times New Roman" w:cs="Times New Roman"/>
          <w:sz w:val="32"/>
          <w:szCs w:val="32"/>
        </w:rPr>
        <w:t>10</w:t>
      </w:r>
      <w:r>
        <w:rPr>
          <w:rFonts w:ascii="仿宋" w:eastAsia="仿宋" w:hAnsi="仿宋" w:hint="eastAsia"/>
          <w:sz w:val="32"/>
          <w:szCs w:val="32"/>
        </w:rPr>
        <w:t>个</w:t>
      </w:r>
      <w:r>
        <w:rPr>
          <w:rFonts w:ascii="仿宋" w:eastAsia="仿宋" w:hAnsi="仿宋"/>
          <w:sz w:val="32"/>
          <w:szCs w:val="32"/>
        </w:rPr>
        <w:t>标准流速。</w:t>
      </w:r>
      <w:r w:rsidRPr="00363008">
        <w:rPr>
          <w:rFonts w:ascii="仿宋" w:eastAsia="仿宋" w:hAnsi="仿宋" w:hint="eastAsia"/>
          <w:sz w:val="32"/>
          <w:szCs w:val="32"/>
        </w:rPr>
        <w:t>北交所和全国股转公司可根据市场需要进行调整。</w:t>
      </w:r>
    </w:p>
    <w:p w14:paraId="6306B4FE" w14:textId="14863CEA" w:rsidR="001E472B" w:rsidRPr="00363008" w:rsidRDefault="00363008" w:rsidP="00F631F7">
      <w:pPr>
        <w:spacing w:before="240" w:after="240" w:line="580" w:lineRule="exact"/>
        <w:jc w:val="center"/>
        <w:rPr>
          <w:rFonts w:ascii="黑体" w:eastAsia="黑体" w:hAnsi="黑体"/>
          <w:sz w:val="32"/>
          <w:szCs w:val="32"/>
        </w:rPr>
      </w:pPr>
      <w:r w:rsidRPr="00363008">
        <w:rPr>
          <w:rFonts w:ascii="黑体" w:eastAsia="黑体" w:hAnsi="黑体" w:hint="eastAsia"/>
          <w:sz w:val="32"/>
          <w:szCs w:val="32"/>
        </w:rPr>
        <w:t>第三章  设立、变更与注销</w:t>
      </w:r>
    </w:p>
    <w:p w14:paraId="2E491254" w14:textId="7FD32169" w:rsidR="00363008" w:rsidRPr="00363008" w:rsidRDefault="00363008" w:rsidP="001F61ED">
      <w:pPr>
        <w:spacing w:line="580" w:lineRule="exact"/>
        <w:ind w:firstLineChars="200" w:firstLine="640"/>
        <w:rPr>
          <w:rFonts w:ascii="仿宋" w:eastAsia="仿宋" w:hAnsi="仿宋"/>
          <w:sz w:val="32"/>
          <w:szCs w:val="32"/>
        </w:rPr>
      </w:pPr>
      <w:r w:rsidRPr="00363008">
        <w:rPr>
          <w:rFonts w:ascii="黑体" w:eastAsia="黑体" w:hAnsi="黑体" w:hint="eastAsia"/>
          <w:sz w:val="32"/>
          <w:szCs w:val="32"/>
        </w:rPr>
        <w:lastRenderedPageBreak/>
        <w:t>第十三条</w:t>
      </w:r>
      <w:r w:rsidR="00246278">
        <w:rPr>
          <w:rFonts w:ascii="Calibri" w:eastAsia="仿宋" w:hAnsi="Calibri" w:cs="Calibri"/>
          <w:sz w:val="32"/>
          <w:szCs w:val="32"/>
        </w:rPr>
        <w:t xml:space="preserve"> </w:t>
      </w:r>
      <w:r w:rsidR="00F631F7">
        <w:rPr>
          <w:rFonts w:ascii="Calibri" w:eastAsia="仿宋" w:hAnsi="Calibri" w:cs="Calibri"/>
          <w:sz w:val="32"/>
          <w:szCs w:val="32"/>
        </w:rPr>
        <w:t xml:space="preserve"> </w:t>
      </w:r>
      <w:r w:rsidRPr="00363008">
        <w:rPr>
          <w:rFonts w:ascii="仿宋" w:eastAsia="仿宋" w:hAnsi="仿宋" w:hint="eastAsia"/>
          <w:sz w:val="32"/>
          <w:szCs w:val="32"/>
        </w:rPr>
        <w:t>交易参与人可根据业务需要，</w:t>
      </w:r>
      <w:proofErr w:type="gramStart"/>
      <w:r w:rsidRPr="00363008">
        <w:rPr>
          <w:rFonts w:ascii="仿宋" w:eastAsia="仿宋" w:hAnsi="仿宋" w:hint="eastAsia"/>
          <w:sz w:val="32"/>
          <w:szCs w:val="32"/>
        </w:rPr>
        <w:t>向北交</w:t>
      </w:r>
      <w:proofErr w:type="gramEnd"/>
      <w:r w:rsidRPr="00363008">
        <w:rPr>
          <w:rFonts w:ascii="仿宋" w:eastAsia="仿宋" w:hAnsi="仿宋" w:hint="eastAsia"/>
          <w:sz w:val="32"/>
          <w:szCs w:val="32"/>
        </w:rPr>
        <w:t>所和全国股转公司申请设立交易单元。交易参与人申请设立交易单元的，应当按照要求提供相关文件。</w:t>
      </w:r>
    </w:p>
    <w:p w14:paraId="4450FB1B" w14:textId="77777777" w:rsidR="00363008" w:rsidRPr="00363008" w:rsidRDefault="00363008" w:rsidP="001F61ED">
      <w:pPr>
        <w:spacing w:line="580" w:lineRule="exact"/>
        <w:ind w:firstLineChars="200" w:firstLine="640"/>
        <w:rPr>
          <w:rFonts w:ascii="仿宋" w:eastAsia="仿宋" w:hAnsi="仿宋"/>
          <w:sz w:val="32"/>
          <w:szCs w:val="32"/>
        </w:rPr>
      </w:pPr>
      <w:r w:rsidRPr="00363008">
        <w:rPr>
          <w:rFonts w:ascii="仿宋" w:eastAsia="仿宋" w:hAnsi="仿宋" w:hint="eastAsia"/>
          <w:sz w:val="32"/>
          <w:szCs w:val="32"/>
        </w:rPr>
        <w:t>北交所和全国股转公司自受理之日</w:t>
      </w:r>
      <w:r w:rsidRPr="001F61ED">
        <w:rPr>
          <w:rFonts w:ascii="Times New Roman" w:eastAsia="仿宋" w:hAnsi="Times New Roman" w:cs="Times New Roman"/>
          <w:sz w:val="32"/>
          <w:szCs w:val="32"/>
        </w:rPr>
        <w:t>起</w:t>
      </w:r>
      <w:r w:rsidRPr="001F61ED">
        <w:rPr>
          <w:rFonts w:ascii="Times New Roman" w:eastAsia="仿宋" w:hAnsi="Times New Roman" w:cs="Times New Roman"/>
          <w:sz w:val="32"/>
          <w:szCs w:val="32"/>
        </w:rPr>
        <w:t>5</w:t>
      </w:r>
      <w:r w:rsidRPr="00363008">
        <w:rPr>
          <w:rFonts w:ascii="仿宋" w:eastAsia="仿宋" w:hAnsi="仿宋" w:hint="eastAsia"/>
          <w:sz w:val="32"/>
          <w:szCs w:val="32"/>
        </w:rPr>
        <w:t>个交易日内</w:t>
      </w:r>
      <w:proofErr w:type="gramStart"/>
      <w:r w:rsidRPr="00363008">
        <w:rPr>
          <w:rFonts w:ascii="仿宋" w:eastAsia="仿宋" w:hAnsi="仿宋" w:hint="eastAsia"/>
          <w:sz w:val="32"/>
          <w:szCs w:val="32"/>
        </w:rPr>
        <w:t>作出</w:t>
      </w:r>
      <w:proofErr w:type="gramEnd"/>
      <w:r w:rsidRPr="00363008">
        <w:rPr>
          <w:rFonts w:ascii="仿宋" w:eastAsia="仿宋" w:hAnsi="仿宋" w:hint="eastAsia"/>
          <w:sz w:val="32"/>
          <w:szCs w:val="32"/>
        </w:rPr>
        <w:t>是否同意的决定。</w:t>
      </w:r>
    </w:p>
    <w:p w14:paraId="71BE056F" w14:textId="220047E7" w:rsidR="00363008" w:rsidRPr="00363008" w:rsidRDefault="00363008" w:rsidP="001F61ED">
      <w:pPr>
        <w:spacing w:line="580" w:lineRule="exact"/>
        <w:ind w:firstLineChars="200" w:firstLine="640"/>
        <w:rPr>
          <w:rFonts w:ascii="仿宋" w:eastAsia="仿宋" w:hAnsi="仿宋"/>
          <w:sz w:val="32"/>
          <w:szCs w:val="32"/>
        </w:rPr>
      </w:pPr>
      <w:r w:rsidRPr="00363008">
        <w:rPr>
          <w:rFonts w:ascii="黑体" w:eastAsia="黑体" w:hAnsi="黑体" w:hint="eastAsia"/>
          <w:sz w:val="32"/>
          <w:szCs w:val="32"/>
        </w:rPr>
        <w:t>第十四条</w:t>
      </w:r>
      <w:r w:rsidR="00CB59AF">
        <w:rPr>
          <w:rFonts w:ascii="Calibri" w:eastAsia="仿宋" w:hAnsi="Calibri" w:cs="Calibri"/>
          <w:sz w:val="32"/>
          <w:szCs w:val="32"/>
        </w:rPr>
        <w:t xml:space="preserve"> </w:t>
      </w:r>
      <w:r w:rsidR="00F631F7">
        <w:rPr>
          <w:rFonts w:ascii="Calibri" w:eastAsia="仿宋" w:hAnsi="Calibri" w:cs="Calibri"/>
          <w:sz w:val="32"/>
          <w:szCs w:val="32"/>
        </w:rPr>
        <w:t xml:space="preserve"> </w:t>
      </w:r>
      <w:r w:rsidRPr="00363008">
        <w:rPr>
          <w:rFonts w:ascii="仿宋" w:eastAsia="仿宋" w:hAnsi="仿宋" w:hint="eastAsia"/>
          <w:sz w:val="32"/>
          <w:szCs w:val="32"/>
        </w:rPr>
        <w:t>交易参与人购买标准流速或设立网关，应当</w:t>
      </w:r>
      <w:proofErr w:type="gramStart"/>
      <w:r w:rsidRPr="00363008">
        <w:rPr>
          <w:rFonts w:ascii="仿宋" w:eastAsia="仿宋" w:hAnsi="仿宋" w:hint="eastAsia"/>
          <w:sz w:val="32"/>
          <w:szCs w:val="32"/>
        </w:rPr>
        <w:t>向北交</w:t>
      </w:r>
      <w:proofErr w:type="gramEnd"/>
      <w:r w:rsidRPr="00363008">
        <w:rPr>
          <w:rFonts w:ascii="仿宋" w:eastAsia="仿宋" w:hAnsi="仿宋" w:hint="eastAsia"/>
          <w:sz w:val="32"/>
          <w:szCs w:val="32"/>
        </w:rPr>
        <w:t>所和全国股转公司提出申请。</w:t>
      </w:r>
    </w:p>
    <w:p w14:paraId="21E3703B" w14:textId="77777777" w:rsidR="00363008" w:rsidRPr="00363008" w:rsidRDefault="00363008" w:rsidP="001F61ED">
      <w:pPr>
        <w:spacing w:line="580" w:lineRule="exact"/>
        <w:ind w:firstLineChars="200" w:firstLine="640"/>
        <w:rPr>
          <w:rFonts w:ascii="仿宋" w:eastAsia="仿宋" w:hAnsi="仿宋"/>
          <w:sz w:val="32"/>
          <w:szCs w:val="32"/>
        </w:rPr>
      </w:pPr>
      <w:r w:rsidRPr="00363008">
        <w:rPr>
          <w:rFonts w:ascii="仿宋" w:eastAsia="仿宋" w:hAnsi="仿宋" w:hint="eastAsia"/>
          <w:sz w:val="32"/>
          <w:szCs w:val="32"/>
        </w:rPr>
        <w:t>北交所和全国股转公司自受理之日起</w:t>
      </w:r>
      <w:r w:rsidRPr="001F61ED">
        <w:rPr>
          <w:rFonts w:ascii="Times New Roman" w:eastAsia="仿宋" w:hAnsi="Times New Roman" w:cs="Times New Roman"/>
          <w:sz w:val="32"/>
          <w:szCs w:val="32"/>
        </w:rPr>
        <w:t>2</w:t>
      </w:r>
      <w:r w:rsidRPr="001F61ED">
        <w:rPr>
          <w:rFonts w:ascii="Times New Roman" w:eastAsia="仿宋" w:hAnsi="Times New Roman" w:cs="Times New Roman"/>
          <w:sz w:val="32"/>
          <w:szCs w:val="32"/>
        </w:rPr>
        <w:t>个</w:t>
      </w:r>
      <w:r w:rsidRPr="00363008">
        <w:rPr>
          <w:rFonts w:ascii="仿宋" w:eastAsia="仿宋" w:hAnsi="仿宋" w:hint="eastAsia"/>
          <w:sz w:val="32"/>
          <w:szCs w:val="32"/>
        </w:rPr>
        <w:t>交易日内</w:t>
      </w:r>
      <w:proofErr w:type="gramStart"/>
      <w:r w:rsidRPr="00363008">
        <w:rPr>
          <w:rFonts w:ascii="仿宋" w:eastAsia="仿宋" w:hAnsi="仿宋" w:hint="eastAsia"/>
          <w:sz w:val="32"/>
          <w:szCs w:val="32"/>
        </w:rPr>
        <w:t>作出</w:t>
      </w:r>
      <w:proofErr w:type="gramEnd"/>
      <w:r w:rsidRPr="00363008">
        <w:rPr>
          <w:rFonts w:ascii="仿宋" w:eastAsia="仿宋" w:hAnsi="仿宋" w:hint="eastAsia"/>
          <w:sz w:val="32"/>
          <w:szCs w:val="32"/>
        </w:rPr>
        <w:t>是否同意的决定。</w:t>
      </w:r>
    </w:p>
    <w:p w14:paraId="2D55597B" w14:textId="13551FED" w:rsidR="00363008" w:rsidRPr="00363008" w:rsidRDefault="00363008" w:rsidP="001F61ED">
      <w:pPr>
        <w:spacing w:line="580" w:lineRule="exact"/>
        <w:ind w:firstLineChars="200" w:firstLine="640"/>
        <w:rPr>
          <w:rFonts w:ascii="仿宋" w:eastAsia="仿宋" w:hAnsi="仿宋"/>
          <w:sz w:val="32"/>
          <w:szCs w:val="32"/>
        </w:rPr>
      </w:pPr>
      <w:r w:rsidRPr="00363008">
        <w:rPr>
          <w:rFonts w:ascii="黑体" w:eastAsia="黑体" w:hAnsi="黑体" w:hint="eastAsia"/>
          <w:sz w:val="32"/>
          <w:szCs w:val="32"/>
        </w:rPr>
        <w:t>第十五条</w:t>
      </w:r>
      <w:r>
        <w:rPr>
          <w:rFonts w:ascii="Calibri" w:eastAsia="仿宋" w:hAnsi="Calibri" w:cs="Calibri"/>
          <w:sz w:val="32"/>
          <w:szCs w:val="32"/>
        </w:rPr>
        <w:t xml:space="preserve"> </w:t>
      </w:r>
      <w:r w:rsidR="00F631F7">
        <w:rPr>
          <w:rFonts w:ascii="Calibri" w:eastAsia="仿宋" w:hAnsi="Calibri" w:cs="Calibri"/>
          <w:sz w:val="32"/>
          <w:szCs w:val="32"/>
        </w:rPr>
        <w:t xml:space="preserve"> </w:t>
      </w:r>
      <w:r w:rsidRPr="00363008">
        <w:rPr>
          <w:rFonts w:ascii="仿宋" w:eastAsia="仿宋" w:hAnsi="仿宋" w:hint="eastAsia"/>
          <w:sz w:val="32"/>
          <w:szCs w:val="32"/>
        </w:rPr>
        <w:t>北交所和全国股转公司对第十三条、第十四条所述的申请审核同意的，核定相应的交易单元编码及所涉业务类型、标准流速数量与网关编码等。</w:t>
      </w:r>
    </w:p>
    <w:p w14:paraId="3E56998D" w14:textId="61B5B7B2" w:rsidR="00363008" w:rsidRPr="00363008" w:rsidRDefault="00363008" w:rsidP="001F61ED">
      <w:pPr>
        <w:spacing w:line="580" w:lineRule="exact"/>
        <w:ind w:firstLineChars="200" w:firstLine="640"/>
        <w:rPr>
          <w:rFonts w:ascii="仿宋" w:eastAsia="仿宋" w:hAnsi="仿宋"/>
          <w:sz w:val="32"/>
          <w:szCs w:val="32"/>
        </w:rPr>
      </w:pPr>
      <w:r w:rsidRPr="00363008">
        <w:rPr>
          <w:rFonts w:ascii="黑体" w:eastAsia="黑体" w:hAnsi="黑体" w:hint="eastAsia"/>
          <w:sz w:val="32"/>
          <w:szCs w:val="32"/>
        </w:rPr>
        <w:t>第十六条</w:t>
      </w:r>
      <w:r w:rsidR="00CB59AF">
        <w:rPr>
          <w:rFonts w:ascii="Calibri" w:eastAsia="仿宋" w:hAnsi="Calibri" w:cs="Calibri"/>
          <w:sz w:val="32"/>
          <w:szCs w:val="32"/>
        </w:rPr>
        <w:t xml:space="preserve"> </w:t>
      </w:r>
      <w:r w:rsidR="00F631F7">
        <w:rPr>
          <w:rFonts w:ascii="Calibri" w:eastAsia="仿宋" w:hAnsi="Calibri" w:cs="Calibri"/>
          <w:sz w:val="32"/>
          <w:szCs w:val="32"/>
        </w:rPr>
        <w:t xml:space="preserve"> </w:t>
      </w:r>
      <w:r w:rsidRPr="00363008">
        <w:rPr>
          <w:rFonts w:ascii="仿宋" w:eastAsia="仿宋" w:hAnsi="仿宋" w:hint="eastAsia"/>
          <w:sz w:val="32"/>
          <w:szCs w:val="32"/>
        </w:rPr>
        <w:t>交易参与人可申请变更其</w:t>
      </w:r>
      <w:r w:rsidRPr="006A77BC">
        <w:rPr>
          <w:rFonts w:ascii="仿宋" w:eastAsia="仿宋" w:hAnsi="仿宋" w:hint="eastAsia"/>
          <w:sz w:val="32"/>
          <w:szCs w:val="32"/>
        </w:rPr>
        <w:t>交易单</w:t>
      </w:r>
      <w:r w:rsidRPr="003370C5">
        <w:rPr>
          <w:rFonts w:ascii="仿宋" w:eastAsia="仿宋" w:hAnsi="仿宋" w:hint="eastAsia"/>
          <w:sz w:val="32"/>
          <w:szCs w:val="32"/>
        </w:rPr>
        <w:t>元交易权限</w:t>
      </w:r>
      <w:r w:rsidR="00733CA4" w:rsidRPr="003370C5">
        <w:rPr>
          <w:rFonts w:ascii="仿宋" w:eastAsia="仿宋" w:hAnsi="仿宋" w:hint="eastAsia"/>
          <w:sz w:val="32"/>
          <w:szCs w:val="32"/>
        </w:rPr>
        <w:t>、</w:t>
      </w:r>
      <w:r w:rsidRPr="003370C5">
        <w:rPr>
          <w:rFonts w:ascii="仿宋" w:eastAsia="仿宋" w:hAnsi="仿宋" w:hint="eastAsia"/>
          <w:sz w:val="32"/>
          <w:szCs w:val="32"/>
        </w:rPr>
        <w:t>标</w:t>
      </w:r>
      <w:r w:rsidRPr="00363008">
        <w:rPr>
          <w:rFonts w:ascii="仿宋" w:eastAsia="仿宋" w:hAnsi="仿宋" w:hint="eastAsia"/>
          <w:sz w:val="32"/>
          <w:szCs w:val="32"/>
        </w:rPr>
        <w:t>准流速数量或网关编码等。</w:t>
      </w:r>
    </w:p>
    <w:p w14:paraId="1B4D9635" w14:textId="77777777" w:rsidR="00363008" w:rsidRPr="00363008" w:rsidRDefault="00363008" w:rsidP="001F61ED">
      <w:pPr>
        <w:spacing w:line="580" w:lineRule="exact"/>
        <w:ind w:firstLineChars="200" w:firstLine="640"/>
        <w:rPr>
          <w:rFonts w:ascii="仿宋" w:eastAsia="仿宋" w:hAnsi="仿宋"/>
          <w:sz w:val="32"/>
          <w:szCs w:val="32"/>
        </w:rPr>
      </w:pPr>
      <w:r w:rsidRPr="00363008">
        <w:rPr>
          <w:rFonts w:ascii="仿宋" w:eastAsia="仿宋" w:hAnsi="仿宋" w:hint="eastAsia"/>
          <w:sz w:val="32"/>
          <w:szCs w:val="32"/>
        </w:rPr>
        <w:t>北交所和全国股转公司自受理之日</w:t>
      </w:r>
      <w:r w:rsidRPr="001F61ED">
        <w:rPr>
          <w:rFonts w:ascii="Times New Roman" w:eastAsia="仿宋" w:hAnsi="Times New Roman" w:cs="Times New Roman"/>
          <w:sz w:val="32"/>
          <w:szCs w:val="32"/>
        </w:rPr>
        <w:t>起</w:t>
      </w:r>
      <w:r w:rsidRPr="001F61ED">
        <w:rPr>
          <w:rFonts w:ascii="Times New Roman" w:eastAsia="仿宋" w:hAnsi="Times New Roman" w:cs="Times New Roman"/>
          <w:sz w:val="32"/>
          <w:szCs w:val="32"/>
        </w:rPr>
        <w:t>3</w:t>
      </w:r>
      <w:r w:rsidRPr="001F61ED">
        <w:rPr>
          <w:rFonts w:ascii="Times New Roman" w:eastAsia="仿宋" w:hAnsi="Times New Roman" w:cs="Times New Roman"/>
          <w:sz w:val="32"/>
          <w:szCs w:val="32"/>
        </w:rPr>
        <w:t>个交</w:t>
      </w:r>
      <w:r w:rsidRPr="00363008">
        <w:rPr>
          <w:rFonts w:ascii="仿宋" w:eastAsia="仿宋" w:hAnsi="仿宋" w:hint="eastAsia"/>
          <w:sz w:val="32"/>
          <w:szCs w:val="32"/>
        </w:rPr>
        <w:t>易日内</w:t>
      </w:r>
      <w:proofErr w:type="gramStart"/>
      <w:r w:rsidRPr="00363008">
        <w:rPr>
          <w:rFonts w:ascii="仿宋" w:eastAsia="仿宋" w:hAnsi="仿宋" w:hint="eastAsia"/>
          <w:sz w:val="32"/>
          <w:szCs w:val="32"/>
        </w:rPr>
        <w:t>作出</w:t>
      </w:r>
      <w:proofErr w:type="gramEnd"/>
      <w:r w:rsidRPr="00363008">
        <w:rPr>
          <w:rFonts w:ascii="仿宋" w:eastAsia="仿宋" w:hAnsi="仿宋" w:hint="eastAsia"/>
          <w:sz w:val="32"/>
          <w:szCs w:val="32"/>
        </w:rPr>
        <w:t>是否同意的决定。</w:t>
      </w:r>
    </w:p>
    <w:p w14:paraId="0A883CE2" w14:textId="43B68F07" w:rsidR="00363008" w:rsidRPr="00363008" w:rsidRDefault="00363008" w:rsidP="001F61ED">
      <w:pPr>
        <w:spacing w:line="580" w:lineRule="exact"/>
        <w:ind w:firstLineChars="200" w:firstLine="640"/>
        <w:rPr>
          <w:rFonts w:ascii="仿宋" w:eastAsia="仿宋" w:hAnsi="仿宋"/>
          <w:sz w:val="32"/>
          <w:szCs w:val="32"/>
        </w:rPr>
      </w:pPr>
      <w:r w:rsidRPr="00CB59AF">
        <w:rPr>
          <w:rFonts w:ascii="黑体" w:eastAsia="黑体" w:hAnsi="黑体" w:hint="eastAsia"/>
          <w:sz w:val="32"/>
          <w:szCs w:val="32"/>
        </w:rPr>
        <w:t>第十七条</w:t>
      </w:r>
      <w:r w:rsidR="00CB59AF">
        <w:rPr>
          <w:rFonts w:ascii="Calibri" w:eastAsia="仿宋" w:hAnsi="Calibri" w:cs="Calibri"/>
          <w:sz w:val="32"/>
          <w:szCs w:val="32"/>
        </w:rPr>
        <w:t xml:space="preserve"> </w:t>
      </w:r>
      <w:r w:rsidR="00F631F7">
        <w:rPr>
          <w:rFonts w:ascii="Calibri" w:eastAsia="仿宋" w:hAnsi="Calibri" w:cs="Calibri"/>
          <w:sz w:val="32"/>
          <w:szCs w:val="32"/>
        </w:rPr>
        <w:t xml:space="preserve"> </w:t>
      </w:r>
      <w:r w:rsidR="00DC60BE">
        <w:rPr>
          <w:rFonts w:ascii="仿宋" w:eastAsia="仿宋" w:hAnsi="仿宋" w:hint="eastAsia"/>
          <w:sz w:val="32"/>
          <w:szCs w:val="32"/>
        </w:rPr>
        <w:t>交易参与人可</w:t>
      </w:r>
      <w:proofErr w:type="gramStart"/>
      <w:r w:rsidR="00DC60BE">
        <w:rPr>
          <w:rFonts w:ascii="仿宋" w:eastAsia="仿宋" w:hAnsi="仿宋" w:hint="eastAsia"/>
          <w:sz w:val="32"/>
          <w:szCs w:val="32"/>
        </w:rPr>
        <w:t>向</w:t>
      </w:r>
      <w:r w:rsidR="00DC60BE">
        <w:rPr>
          <w:rFonts w:ascii="仿宋" w:eastAsia="仿宋" w:hAnsi="仿宋"/>
          <w:sz w:val="32"/>
          <w:szCs w:val="32"/>
        </w:rPr>
        <w:t>北交</w:t>
      </w:r>
      <w:proofErr w:type="gramEnd"/>
      <w:r w:rsidR="00DC60BE">
        <w:rPr>
          <w:rFonts w:ascii="仿宋" w:eastAsia="仿宋" w:hAnsi="仿宋"/>
          <w:sz w:val="32"/>
          <w:szCs w:val="32"/>
        </w:rPr>
        <w:t>所和全国股转公司</w:t>
      </w:r>
      <w:r w:rsidRPr="00363008">
        <w:rPr>
          <w:rFonts w:ascii="仿宋" w:eastAsia="仿宋" w:hAnsi="仿宋" w:hint="eastAsia"/>
          <w:sz w:val="32"/>
          <w:szCs w:val="32"/>
        </w:rPr>
        <w:t>申请注销其交易单元、标准流速或网关。</w:t>
      </w:r>
    </w:p>
    <w:p w14:paraId="27946479" w14:textId="77777777" w:rsidR="00363008" w:rsidRPr="00363008" w:rsidRDefault="00363008" w:rsidP="001F61ED">
      <w:pPr>
        <w:spacing w:line="580" w:lineRule="exact"/>
        <w:ind w:firstLineChars="200" w:firstLine="640"/>
        <w:rPr>
          <w:rFonts w:ascii="仿宋" w:eastAsia="仿宋" w:hAnsi="仿宋"/>
          <w:sz w:val="32"/>
          <w:szCs w:val="32"/>
        </w:rPr>
      </w:pPr>
      <w:r w:rsidRPr="00363008">
        <w:rPr>
          <w:rFonts w:ascii="仿宋" w:eastAsia="仿宋" w:hAnsi="仿宋" w:hint="eastAsia"/>
          <w:sz w:val="32"/>
          <w:szCs w:val="32"/>
        </w:rPr>
        <w:t>北交所和全国股转公司自受理之日起</w:t>
      </w:r>
      <w:r w:rsidRPr="001F61ED">
        <w:rPr>
          <w:rFonts w:ascii="Times New Roman" w:eastAsia="仿宋" w:hAnsi="Times New Roman" w:cs="Times New Roman"/>
          <w:sz w:val="32"/>
          <w:szCs w:val="32"/>
        </w:rPr>
        <w:t>3</w:t>
      </w:r>
      <w:r w:rsidRPr="00363008">
        <w:rPr>
          <w:rFonts w:ascii="仿宋" w:eastAsia="仿宋" w:hAnsi="仿宋" w:hint="eastAsia"/>
          <w:sz w:val="32"/>
          <w:szCs w:val="32"/>
        </w:rPr>
        <w:t>个交易日内</w:t>
      </w:r>
      <w:proofErr w:type="gramStart"/>
      <w:r w:rsidRPr="00363008">
        <w:rPr>
          <w:rFonts w:ascii="仿宋" w:eastAsia="仿宋" w:hAnsi="仿宋" w:hint="eastAsia"/>
          <w:sz w:val="32"/>
          <w:szCs w:val="32"/>
        </w:rPr>
        <w:t>作出</w:t>
      </w:r>
      <w:proofErr w:type="gramEnd"/>
      <w:r w:rsidRPr="00363008">
        <w:rPr>
          <w:rFonts w:ascii="仿宋" w:eastAsia="仿宋" w:hAnsi="仿宋" w:hint="eastAsia"/>
          <w:sz w:val="32"/>
          <w:szCs w:val="32"/>
        </w:rPr>
        <w:t>是否同意的决定。</w:t>
      </w:r>
    </w:p>
    <w:p w14:paraId="02DF3C8B" w14:textId="4D99E7C5" w:rsidR="00363008" w:rsidRPr="00363008" w:rsidRDefault="00363008" w:rsidP="001F61ED">
      <w:pPr>
        <w:spacing w:line="580" w:lineRule="exact"/>
        <w:ind w:firstLineChars="200" w:firstLine="640"/>
        <w:rPr>
          <w:rFonts w:ascii="仿宋" w:eastAsia="仿宋" w:hAnsi="仿宋"/>
          <w:sz w:val="32"/>
          <w:szCs w:val="32"/>
        </w:rPr>
      </w:pPr>
      <w:r w:rsidRPr="00CB59AF">
        <w:rPr>
          <w:rFonts w:ascii="黑体" w:eastAsia="黑体" w:hAnsi="黑体" w:hint="eastAsia"/>
          <w:sz w:val="32"/>
          <w:szCs w:val="32"/>
        </w:rPr>
        <w:t>第十八条</w:t>
      </w:r>
      <w:r w:rsidR="00CB59AF">
        <w:rPr>
          <w:rFonts w:ascii="Calibri" w:eastAsia="仿宋" w:hAnsi="Calibri" w:cs="Calibri"/>
          <w:sz w:val="32"/>
          <w:szCs w:val="32"/>
        </w:rPr>
        <w:t xml:space="preserve"> </w:t>
      </w:r>
      <w:r w:rsidR="00F631F7">
        <w:rPr>
          <w:rFonts w:ascii="Calibri" w:eastAsia="仿宋" w:hAnsi="Calibri" w:cs="Calibri"/>
          <w:sz w:val="32"/>
          <w:szCs w:val="32"/>
        </w:rPr>
        <w:t xml:space="preserve"> </w:t>
      </w:r>
      <w:r w:rsidRPr="00363008">
        <w:rPr>
          <w:rFonts w:ascii="仿宋" w:eastAsia="仿宋" w:hAnsi="仿宋" w:hint="eastAsia"/>
          <w:sz w:val="32"/>
          <w:szCs w:val="32"/>
        </w:rPr>
        <w:t>交易参与人在办理网关注销手续时，应当同时办理使用该网关的交易单元的变更或注销手续。</w:t>
      </w:r>
    </w:p>
    <w:p w14:paraId="49225805" w14:textId="77777777" w:rsidR="00363008" w:rsidRPr="00363008" w:rsidRDefault="00363008" w:rsidP="001F61ED">
      <w:pPr>
        <w:spacing w:line="580" w:lineRule="exact"/>
        <w:ind w:firstLineChars="200" w:firstLine="640"/>
        <w:rPr>
          <w:rFonts w:ascii="仿宋" w:eastAsia="仿宋" w:hAnsi="仿宋"/>
          <w:sz w:val="32"/>
          <w:szCs w:val="32"/>
        </w:rPr>
      </w:pPr>
      <w:r w:rsidRPr="00363008">
        <w:rPr>
          <w:rFonts w:ascii="仿宋" w:eastAsia="仿宋" w:hAnsi="仿宋" w:hint="eastAsia"/>
          <w:sz w:val="32"/>
          <w:szCs w:val="32"/>
        </w:rPr>
        <w:lastRenderedPageBreak/>
        <w:t>交易参与人在办理全部交易单元注销手续时，应同时办理网关的注销手续。</w:t>
      </w:r>
    </w:p>
    <w:p w14:paraId="45978226" w14:textId="245D3D72" w:rsidR="00363008" w:rsidRPr="00363008" w:rsidRDefault="00363008" w:rsidP="001F61ED">
      <w:pPr>
        <w:spacing w:line="580" w:lineRule="exact"/>
        <w:ind w:firstLineChars="200" w:firstLine="640"/>
        <w:rPr>
          <w:rFonts w:ascii="仿宋" w:eastAsia="仿宋" w:hAnsi="仿宋"/>
          <w:sz w:val="32"/>
          <w:szCs w:val="32"/>
        </w:rPr>
      </w:pPr>
      <w:r w:rsidRPr="00CB59AF">
        <w:rPr>
          <w:rFonts w:ascii="黑体" w:eastAsia="黑体" w:hAnsi="黑体" w:hint="eastAsia"/>
          <w:sz w:val="32"/>
          <w:szCs w:val="32"/>
        </w:rPr>
        <w:t>第十九条</w:t>
      </w:r>
      <w:r w:rsidR="00246278">
        <w:rPr>
          <w:rFonts w:ascii="Calibri" w:eastAsia="仿宋" w:hAnsi="Calibri" w:cs="Calibri"/>
          <w:sz w:val="32"/>
          <w:szCs w:val="32"/>
        </w:rPr>
        <w:t xml:space="preserve"> </w:t>
      </w:r>
      <w:r w:rsidR="00F631F7">
        <w:rPr>
          <w:rFonts w:ascii="Calibri" w:eastAsia="仿宋" w:hAnsi="Calibri" w:cs="Calibri"/>
          <w:sz w:val="32"/>
          <w:szCs w:val="32"/>
        </w:rPr>
        <w:t xml:space="preserve"> </w:t>
      </w:r>
      <w:r w:rsidRPr="00363008">
        <w:rPr>
          <w:rFonts w:ascii="仿宋" w:eastAsia="仿宋" w:hAnsi="仿宋" w:hint="eastAsia"/>
          <w:sz w:val="32"/>
          <w:szCs w:val="32"/>
        </w:rPr>
        <w:t>因交易参与人发生重组、合并、破产、清算等情况涉及交易单元或者网关变动的，交易参与人应及时</w:t>
      </w:r>
      <w:proofErr w:type="gramStart"/>
      <w:r w:rsidRPr="00363008">
        <w:rPr>
          <w:rFonts w:ascii="仿宋" w:eastAsia="仿宋" w:hAnsi="仿宋" w:hint="eastAsia"/>
          <w:sz w:val="32"/>
          <w:szCs w:val="32"/>
        </w:rPr>
        <w:t>向北交</w:t>
      </w:r>
      <w:proofErr w:type="gramEnd"/>
      <w:r w:rsidRPr="00363008">
        <w:rPr>
          <w:rFonts w:ascii="仿宋" w:eastAsia="仿宋" w:hAnsi="仿宋" w:hint="eastAsia"/>
          <w:sz w:val="32"/>
          <w:szCs w:val="32"/>
        </w:rPr>
        <w:t>所和全国股转公司申请办理相关的变更或者注销等手续。</w:t>
      </w:r>
    </w:p>
    <w:p w14:paraId="135A58E8" w14:textId="49053172" w:rsidR="001E472B" w:rsidRPr="00363008" w:rsidRDefault="00363008" w:rsidP="00F631F7">
      <w:pPr>
        <w:spacing w:line="580" w:lineRule="exact"/>
        <w:ind w:firstLineChars="200" w:firstLine="640"/>
        <w:rPr>
          <w:rFonts w:ascii="仿宋" w:eastAsia="仿宋" w:hAnsi="仿宋"/>
          <w:sz w:val="32"/>
          <w:szCs w:val="32"/>
        </w:rPr>
      </w:pPr>
      <w:r w:rsidRPr="00CB59AF">
        <w:rPr>
          <w:rFonts w:ascii="黑体" w:eastAsia="黑体" w:hAnsi="黑体" w:hint="eastAsia"/>
          <w:sz w:val="32"/>
          <w:szCs w:val="32"/>
        </w:rPr>
        <w:t>第二十条</w:t>
      </w:r>
      <w:r w:rsidR="00CB59AF">
        <w:rPr>
          <w:rFonts w:ascii="Calibri" w:eastAsia="仿宋" w:hAnsi="Calibri" w:cs="Calibri"/>
          <w:sz w:val="32"/>
          <w:szCs w:val="32"/>
        </w:rPr>
        <w:t xml:space="preserve"> </w:t>
      </w:r>
      <w:r w:rsidR="00F631F7">
        <w:rPr>
          <w:rFonts w:ascii="Calibri" w:eastAsia="仿宋" w:hAnsi="Calibri" w:cs="Calibri"/>
          <w:sz w:val="32"/>
          <w:szCs w:val="32"/>
        </w:rPr>
        <w:t xml:space="preserve"> </w:t>
      </w:r>
      <w:r w:rsidRPr="00363008">
        <w:rPr>
          <w:rFonts w:ascii="仿宋" w:eastAsia="仿宋" w:hAnsi="仿宋" w:hint="eastAsia"/>
          <w:sz w:val="32"/>
          <w:szCs w:val="32"/>
        </w:rPr>
        <w:t>交易参与人不得转让交易单元。经北交所和全国股转公司同意，交易参与人可将交易单元以</w:t>
      </w:r>
      <w:r w:rsidR="00917FA6" w:rsidRPr="00917FA6">
        <w:rPr>
          <w:rFonts w:ascii="仿宋" w:eastAsia="仿宋" w:hAnsi="仿宋" w:hint="eastAsia"/>
          <w:sz w:val="32"/>
          <w:szCs w:val="32"/>
        </w:rPr>
        <w:t>北交所和全国股转公司</w:t>
      </w:r>
      <w:r w:rsidRPr="00363008">
        <w:rPr>
          <w:rFonts w:ascii="仿宋" w:eastAsia="仿宋" w:hAnsi="仿宋" w:hint="eastAsia"/>
          <w:sz w:val="32"/>
          <w:szCs w:val="32"/>
        </w:rPr>
        <w:t>认可的方式提供给他人使用。交易参与人将交易单元提供给他人使用的，应当切实加强交易单元管理，要求使用人严格遵守交易单元使用相关规定，合法合</w:t>
      </w:r>
      <w:proofErr w:type="gramStart"/>
      <w:r w:rsidRPr="00363008">
        <w:rPr>
          <w:rFonts w:ascii="仿宋" w:eastAsia="仿宋" w:hAnsi="仿宋" w:hint="eastAsia"/>
          <w:sz w:val="32"/>
          <w:szCs w:val="32"/>
        </w:rPr>
        <w:t>规</w:t>
      </w:r>
      <w:proofErr w:type="gramEnd"/>
      <w:r w:rsidRPr="00363008">
        <w:rPr>
          <w:rFonts w:ascii="仿宋" w:eastAsia="仿宋" w:hAnsi="仿宋" w:hint="eastAsia"/>
          <w:sz w:val="32"/>
          <w:szCs w:val="32"/>
        </w:rPr>
        <w:t>参与交易。</w:t>
      </w:r>
    </w:p>
    <w:p w14:paraId="0C116D96" w14:textId="6746BC8D" w:rsidR="001E472B" w:rsidRPr="00CB59AF" w:rsidRDefault="00363008" w:rsidP="00F631F7">
      <w:pPr>
        <w:spacing w:before="240" w:after="240" w:line="580" w:lineRule="exact"/>
        <w:jc w:val="center"/>
        <w:rPr>
          <w:rFonts w:ascii="黑体" w:eastAsia="黑体" w:hAnsi="黑体"/>
          <w:sz w:val="32"/>
          <w:szCs w:val="32"/>
        </w:rPr>
      </w:pPr>
      <w:r w:rsidRPr="00CB59AF">
        <w:rPr>
          <w:rFonts w:ascii="黑体" w:eastAsia="黑体" w:hAnsi="黑体" w:hint="eastAsia"/>
          <w:sz w:val="32"/>
          <w:szCs w:val="32"/>
        </w:rPr>
        <w:t>第四章  收</w:t>
      </w:r>
      <w:r w:rsidR="001F61ED">
        <w:rPr>
          <w:rFonts w:ascii="黑体" w:eastAsia="黑体" w:hAnsi="黑体" w:hint="eastAsia"/>
          <w:sz w:val="32"/>
          <w:szCs w:val="32"/>
        </w:rPr>
        <w:t xml:space="preserve">  </w:t>
      </w:r>
      <w:r w:rsidRPr="00CB59AF">
        <w:rPr>
          <w:rFonts w:ascii="黑体" w:eastAsia="黑体" w:hAnsi="黑体" w:hint="eastAsia"/>
          <w:sz w:val="32"/>
          <w:szCs w:val="32"/>
        </w:rPr>
        <w:t>费</w:t>
      </w:r>
    </w:p>
    <w:p w14:paraId="1D227658" w14:textId="1FBC5AC5" w:rsidR="00363008" w:rsidRPr="00363008" w:rsidRDefault="00363008" w:rsidP="001F61ED">
      <w:pPr>
        <w:spacing w:line="580" w:lineRule="exact"/>
        <w:ind w:firstLineChars="200" w:firstLine="640"/>
        <w:rPr>
          <w:rFonts w:ascii="仿宋" w:eastAsia="仿宋" w:hAnsi="仿宋"/>
          <w:sz w:val="32"/>
          <w:szCs w:val="32"/>
        </w:rPr>
      </w:pPr>
      <w:r w:rsidRPr="00CB59AF">
        <w:rPr>
          <w:rFonts w:ascii="黑体" w:eastAsia="黑体" w:hAnsi="黑体" w:hint="eastAsia"/>
          <w:sz w:val="32"/>
          <w:szCs w:val="32"/>
        </w:rPr>
        <w:t>第二十一条</w:t>
      </w:r>
      <w:r w:rsidR="00246278">
        <w:rPr>
          <w:rFonts w:ascii="Calibri" w:eastAsia="仿宋" w:hAnsi="Calibri" w:cs="Calibri"/>
          <w:sz w:val="32"/>
          <w:szCs w:val="32"/>
        </w:rPr>
        <w:t xml:space="preserve"> </w:t>
      </w:r>
      <w:r w:rsidR="00F631F7">
        <w:rPr>
          <w:rFonts w:ascii="Calibri" w:eastAsia="仿宋" w:hAnsi="Calibri" w:cs="Calibri"/>
          <w:sz w:val="32"/>
          <w:szCs w:val="32"/>
        </w:rPr>
        <w:t xml:space="preserve"> </w:t>
      </w:r>
      <w:r w:rsidRPr="00363008">
        <w:rPr>
          <w:rFonts w:ascii="仿宋" w:eastAsia="仿宋" w:hAnsi="仿宋" w:hint="eastAsia"/>
          <w:sz w:val="32"/>
          <w:szCs w:val="32"/>
        </w:rPr>
        <w:t>交易参与人通过交易单元从事证券交易业务，应当交纳交易单元开设初费、使用费、流速费与流量费等费用。</w:t>
      </w:r>
    </w:p>
    <w:p w14:paraId="4E22D9B9" w14:textId="17F30079" w:rsidR="00363008" w:rsidRPr="00363008" w:rsidRDefault="00363008" w:rsidP="001F61ED">
      <w:pPr>
        <w:spacing w:line="580" w:lineRule="exact"/>
        <w:ind w:firstLineChars="200" w:firstLine="640"/>
        <w:rPr>
          <w:rFonts w:ascii="仿宋" w:eastAsia="仿宋" w:hAnsi="仿宋"/>
          <w:sz w:val="32"/>
          <w:szCs w:val="32"/>
        </w:rPr>
      </w:pPr>
      <w:r w:rsidRPr="00CB59AF">
        <w:rPr>
          <w:rFonts w:ascii="黑体" w:eastAsia="黑体" w:hAnsi="黑体" w:hint="eastAsia"/>
          <w:sz w:val="32"/>
          <w:szCs w:val="32"/>
        </w:rPr>
        <w:t>第二十二条</w:t>
      </w:r>
      <w:r w:rsidR="00246278">
        <w:rPr>
          <w:rFonts w:ascii="Calibri" w:eastAsia="仿宋" w:hAnsi="Calibri" w:cs="Calibri"/>
          <w:sz w:val="32"/>
          <w:szCs w:val="32"/>
        </w:rPr>
        <w:t xml:space="preserve"> </w:t>
      </w:r>
      <w:r w:rsidR="00F631F7">
        <w:rPr>
          <w:rFonts w:ascii="Calibri" w:eastAsia="仿宋" w:hAnsi="Calibri" w:cs="Calibri"/>
          <w:sz w:val="32"/>
          <w:szCs w:val="32"/>
        </w:rPr>
        <w:t xml:space="preserve"> </w:t>
      </w:r>
      <w:r w:rsidRPr="00363008">
        <w:rPr>
          <w:rFonts w:ascii="仿宋" w:eastAsia="仿宋" w:hAnsi="仿宋" w:hint="eastAsia"/>
          <w:sz w:val="32"/>
          <w:szCs w:val="32"/>
        </w:rPr>
        <w:t>交易参与人设立首个交易单元时，应交纳人民币</w:t>
      </w:r>
      <w:r w:rsidRPr="001F61ED">
        <w:rPr>
          <w:rFonts w:ascii="Times New Roman" w:eastAsia="仿宋" w:hAnsi="Times New Roman" w:cs="Times New Roman"/>
          <w:sz w:val="32"/>
          <w:szCs w:val="32"/>
        </w:rPr>
        <w:t>50</w:t>
      </w:r>
      <w:r w:rsidRPr="001F61ED">
        <w:rPr>
          <w:rFonts w:ascii="Times New Roman" w:eastAsia="仿宋" w:hAnsi="Times New Roman" w:cs="Times New Roman"/>
          <w:sz w:val="32"/>
          <w:szCs w:val="32"/>
        </w:rPr>
        <w:t>万</w:t>
      </w:r>
      <w:r w:rsidRPr="00363008">
        <w:rPr>
          <w:rFonts w:ascii="仿宋" w:eastAsia="仿宋" w:hAnsi="仿宋" w:hint="eastAsia"/>
          <w:sz w:val="32"/>
          <w:szCs w:val="32"/>
        </w:rPr>
        <w:t>元的交易单元开设初费。交易参与人设立首个交易单元后，增设交易单元的，不必再交纳交易单元开设初费。</w:t>
      </w:r>
    </w:p>
    <w:p w14:paraId="2A075A30" w14:textId="6065F1AE" w:rsidR="00363008" w:rsidRPr="00363008" w:rsidRDefault="00363008" w:rsidP="001F61ED">
      <w:pPr>
        <w:spacing w:line="580" w:lineRule="exact"/>
        <w:ind w:firstLineChars="200" w:firstLine="640"/>
        <w:rPr>
          <w:rFonts w:ascii="仿宋" w:eastAsia="仿宋" w:hAnsi="仿宋"/>
          <w:sz w:val="32"/>
          <w:szCs w:val="32"/>
        </w:rPr>
      </w:pPr>
      <w:r w:rsidRPr="00CB59AF">
        <w:rPr>
          <w:rFonts w:ascii="黑体" w:eastAsia="黑体" w:hAnsi="黑体" w:hint="eastAsia"/>
          <w:sz w:val="32"/>
          <w:szCs w:val="32"/>
        </w:rPr>
        <w:t>第二十三条</w:t>
      </w:r>
      <w:r w:rsidR="00246278">
        <w:rPr>
          <w:rFonts w:ascii="Calibri" w:eastAsia="仿宋" w:hAnsi="Calibri" w:cs="Calibri"/>
          <w:sz w:val="32"/>
          <w:szCs w:val="32"/>
        </w:rPr>
        <w:t xml:space="preserve"> </w:t>
      </w:r>
      <w:r w:rsidR="00F631F7">
        <w:rPr>
          <w:rFonts w:ascii="Calibri" w:eastAsia="仿宋" w:hAnsi="Calibri" w:cs="Calibri"/>
          <w:sz w:val="32"/>
          <w:szCs w:val="32"/>
        </w:rPr>
        <w:t xml:space="preserve"> </w:t>
      </w:r>
      <w:r w:rsidRPr="00363008">
        <w:rPr>
          <w:rFonts w:ascii="仿宋" w:eastAsia="仿宋" w:hAnsi="仿宋" w:hint="eastAsia"/>
          <w:sz w:val="32"/>
          <w:szCs w:val="32"/>
        </w:rPr>
        <w:t>交易参与人申请使用的每个交易单元（含首个交易单元）按每年人民</w:t>
      </w:r>
      <w:r w:rsidRPr="001F61ED">
        <w:rPr>
          <w:rFonts w:ascii="Times New Roman" w:eastAsia="仿宋" w:hAnsi="Times New Roman" w:cs="Times New Roman"/>
          <w:sz w:val="32"/>
          <w:szCs w:val="32"/>
        </w:rPr>
        <w:t>币</w:t>
      </w:r>
      <w:r w:rsidRPr="001F61ED">
        <w:rPr>
          <w:rFonts w:ascii="Times New Roman" w:eastAsia="仿宋" w:hAnsi="Times New Roman" w:cs="Times New Roman"/>
          <w:sz w:val="32"/>
          <w:szCs w:val="32"/>
        </w:rPr>
        <w:t>3</w:t>
      </w:r>
      <w:r w:rsidRPr="001F61ED">
        <w:rPr>
          <w:rFonts w:ascii="Times New Roman" w:eastAsia="仿宋" w:hAnsi="Times New Roman" w:cs="Times New Roman"/>
          <w:sz w:val="32"/>
          <w:szCs w:val="32"/>
        </w:rPr>
        <w:t>万元</w:t>
      </w:r>
      <w:r w:rsidRPr="00363008">
        <w:rPr>
          <w:rFonts w:ascii="仿宋" w:eastAsia="仿宋" w:hAnsi="仿宋" w:hint="eastAsia"/>
          <w:sz w:val="32"/>
          <w:szCs w:val="32"/>
        </w:rPr>
        <w:t>交纳交易单元使用费。</w:t>
      </w:r>
    </w:p>
    <w:p w14:paraId="771B9DF4" w14:textId="41F5843E" w:rsidR="00363008" w:rsidRPr="00363008" w:rsidRDefault="00363008" w:rsidP="001F61ED">
      <w:pPr>
        <w:spacing w:line="580" w:lineRule="exact"/>
        <w:ind w:firstLineChars="200" w:firstLine="640"/>
        <w:rPr>
          <w:rFonts w:ascii="仿宋" w:eastAsia="仿宋" w:hAnsi="仿宋"/>
          <w:sz w:val="32"/>
          <w:szCs w:val="32"/>
        </w:rPr>
      </w:pPr>
      <w:r w:rsidRPr="00CB59AF">
        <w:rPr>
          <w:rFonts w:ascii="黑体" w:eastAsia="黑体" w:hAnsi="黑体" w:hint="eastAsia"/>
          <w:sz w:val="32"/>
          <w:szCs w:val="32"/>
        </w:rPr>
        <w:t>第二十四条</w:t>
      </w:r>
      <w:r w:rsidR="00246278">
        <w:rPr>
          <w:rFonts w:ascii="Calibri" w:eastAsia="仿宋" w:hAnsi="Calibri" w:cs="Calibri"/>
          <w:sz w:val="32"/>
          <w:szCs w:val="32"/>
        </w:rPr>
        <w:t xml:space="preserve"> </w:t>
      </w:r>
      <w:r w:rsidR="00F631F7">
        <w:rPr>
          <w:rFonts w:ascii="Calibri" w:eastAsia="仿宋" w:hAnsi="Calibri" w:cs="Calibri"/>
          <w:sz w:val="32"/>
          <w:szCs w:val="32"/>
        </w:rPr>
        <w:t xml:space="preserve"> </w:t>
      </w:r>
      <w:r w:rsidRPr="00363008">
        <w:rPr>
          <w:rFonts w:ascii="仿宋" w:eastAsia="仿宋" w:hAnsi="仿宋" w:hint="eastAsia"/>
          <w:sz w:val="32"/>
          <w:szCs w:val="32"/>
        </w:rPr>
        <w:t>交易参与人申请使用的总流速不超过其享有的免费标准流速之和时，不需交纳流速费；申请使用的总流速超出其享有的免费标准流速之和的部分，按每个标准流速每年人民</w:t>
      </w:r>
      <w:r w:rsidRPr="001F61ED">
        <w:rPr>
          <w:rFonts w:ascii="Times New Roman" w:eastAsia="仿宋" w:hAnsi="Times New Roman" w:cs="Times New Roman"/>
          <w:sz w:val="32"/>
          <w:szCs w:val="32"/>
        </w:rPr>
        <w:t>币</w:t>
      </w:r>
      <w:r w:rsidRPr="001F61ED">
        <w:rPr>
          <w:rFonts w:ascii="Times New Roman" w:eastAsia="仿宋" w:hAnsi="Times New Roman" w:cs="Times New Roman"/>
          <w:sz w:val="32"/>
          <w:szCs w:val="32"/>
        </w:rPr>
        <w:t>5000</w:t>
      </w:r>
      <w:r w:rsidRPr="001F61ED">
        <w:rPr>
          <w:rFonts w:ascii="Times New Roman" w:eastAsia="仿宋" w:hAnsi="Times New Roman" w:cs="Times New Roman"/>
          <w:sz w:val="32"/>
          <w:szCs w:val="32"/>
        </w:rPr>
        <w:t>元</w:t>
      </w:r>
      <w:r w:rsidRPr="00363008">
        <w:rPr>
          <w:rFonts w:ascii="仿宋" w:eastAsia="仿宋" w:hAnsi="仿宋" w:hint="eastAsia"/>
          <w:sz w:val="32"/>
          <w:szCs w:val="32"/>
        </w:rPr>
        <w:t>交纳流速费。</w:t>
      </w:r>
    </w:p>
    <w:p w14:paraId="79879485" w14:textId="02DF04CF" w:rsidR="00363008" w:rsidRPr="00363008" w:rsidRDefault="00363008" w:rsidP="001F61ED">
      <w:pPr>
        <w:spacing w:line="580" w:lineRule="exact"/>
        <w:ind w:firstLineChars="200" w:firstLine="640"/>
        <w:rPr>
          <w:rFonts w:ascii="仿宋" w:eastAsia="仿宋" w:hAnsi="仿宋"/>
          <w:sz w:val="32"/>
          <w:szCs w:val="32"/>
        </w:rPr>
      </w:pPr>
      <w:r w:rsidRPr="00CB59AF">
        <w:rPr>
          <w:rFonts w:ascii="黑体" w:eastAsia="黑体" w:hAnsi="黑体" w:hint="eastAsia"/>
          <w:sz w:val="32"/>
          <w:szCs w:val="32"/>
        </w:rPr>
        <w:lastRenderedPageBreak/>
        <w:t>第二十五条</w:t>
      </w:r>
      <w:r w:rsidR="00246278">
        <w:rPr>
          <w:rFonts w:ascii="Calibri" w:eastAsia="仿宋" w:hAnsi="Calibri" w:cs="Calibri"/>
          <w:sz w:val="32"/>
          <w:szCs w:val="32"/>
        </w:rPr>
        <w:t xml:space="preserve"> </w:t>
      </w:r>
      <w:r w:rsidR="00F631F7">
        <w:rPr>
          <w:rFonts w:ascii="Calibri" w:eastAsia="仿宋" w:hAnsi="Calibri" w:cs="Calibri"/>
          <w:sz w:val="32"/>
          <w:szCs w:val="32"/>
        </w:rPr>
        <w:t xml:space="preserve"> </w:t>
      </w:r>
      <w:r w:rsidRPr="00363008">
        <w:rPr>
          <w:rFonts w:ascii="仿宋" w:eastAsia="仿宋" w:hAnsi="仿宋" w:hint="eastAsia"/>
          <w:sz w:val="32"/>
          <w:szCs w:val="32"/>
        </w:rPr>
        <w:t xml:space="preserve">交易参与人应当按年交纳流量费。交易参与人每年流量费总额按下列公式计算： </w:t>
      </w:r>
    </w:p>
    <w:p w14:paraId="6159AE52" w14:textId="77777777" w:rsidR="00363008" w:rsidRPr="00363008" w:rsidRDefault="00363008" w:rsidP="001F61ED">
      <w:pPr>
        <w:spacing w:line="580" w:lineRule="exact"/>
        <w:ind w:firstLineChars="200" w:firstLine="640"/>
        <w:rPr>
          <w:rFonts w:ascii="仿宋" w:eastAsia="仿宋" w:hAnsi="仿宋"/>
          <w:sz w:val="32"/>
          <w:szCs w:val="32"/>
        </w:rPr>
      </w:pPr>
      <w:r w:rsidRPr="00363008">
        <w:rPr>
          <w:rFonts w:ascii="仿宋" w:eastAsia="仿宋" w:hAnsi="仿宋" w:hint="eastAsia"/>
          <w:sz w:val="32"/>
          <w:szCs w:val="32"/>
        </w:rPr>
        <w:t>交易参与人每年流量费总额＝（交易参与人所属各交易单元的年交易类申报笔数总和-该交易参与人享受的年交易类免费申报笔数）×每笔交易类申报收费单价＋（交易参与人所属各交易单元的年</w:t>
      </w:r>
      <w:proofErr w:type="gramStart"/>
      <w:r w:rsidRPr="00363008">
        <w:rPr>
          <w:rFonts w:ascii="仿宋" w:eastAsia="仿宋" w:hAnsi="仿宋" w:hint="eastAsia"/>
          <w:sz w:val="32"/>
          <w:szCs w:val="32"/>
        </w:rPr>
        <w:t>非交易类</w:t>
      </w:r>
      <w:proofErr w:type="gramEnd"/>
      <w:r w:rsidRPr="00363008">
        <w:rPr>
          <w:rFonts w:ascii="仿宋" w:eastAsia="仿宋" w:hAnsi="仿宋" w:hint="eastAsia"/>
          <w:sz w:val="32"/>
          <w:szCs w:val="32"/>
        </w:rPr>
        <w:t>申报笔数总和-该交易参与人享有的年</w:t>
      </w:r>
      <w:proofErr w:type="gramStart"/>
      <w:r w:rsidRPr="00363008">
        <w:rPr>
          <w:rFonts w:ascii="仿宋" w:eastAsia="仿宋" w:hAnsi="仿宋" w:hint="eastAsia"/>
          <w:sz w:val="32"/>
          <w:szCs w:val="32"/>
        </w:rPr>
        <w:t>非交易类</w:t>
      </w:r>
      <w:proofErr w:type="gramEnd"/>
      <w:r w:rsidRPr="00363008">
        <w:rPr>
          <w:rFonts w:ascii="仿宋" w:eastAsia="仿宋" w:hAnsi="仿宋" w:hint="eastAsia"/>
          <w:sz w:val="32"/>
          <w:szCs w:val="32"/>
        </w:rPr>
        <w:t>免费申报笔数）×每笔</w:t>
      </w:r>
      <w:proofErr w:type="gramStart"/>
      <w:r w:rsidRPr="00363008">
        <w:rPr>
          <w:rFonts w:ascii="仿宋" w:eastAsia="仿宋" w:hAnsi="仿宋" w:hint="eastAsia"/>
          <w:sz w:val="32"/>
          <w:szCs w:val="32"/>
        </w:rPr>
        <w:t>非交易类</w:t>
      </w:r>
      <w:proofErr w:type="gramEnd"/>
      <w:r w:rsidRPr="00363008">
        <w:rPr>
          <w:rFonts w:ascii="仿宋" w:eastAsia="仿宋" w:hAnsi="仿宋" w:hint="eastAsia"/>
          <w:sz w:val="32"/>
          <w:szCs w:val="32"/>
        </w:rPr>
        <w:t>申报收费单价。其中：</w:t>
      </w:r>
    </w:p>
    <w:p w14:paraId="4881714E" w14:textId="41D3071E" w:rsidR="00363008" w:rsidRPr="00363008" w:rsidRDefault="00363008" w:rsidP="001F61ED">
      <w:pPr>
        <w:spacing w:line="580" w:lineRule="exact"/>
        <w:ind w:firstLineChars="200" w:firstLine="640"/>
        <w:rPr>
          <w:rFonts w:ascii="仿宋" w:eastAsia="仿宋" w:hAnsi="仿宋"/>
          <w:sz w:val="32"/>
          <w:szCs w:val="32"/>
        </w:rPr>
      </w:pPr>
      <w:r w:rsidRPr="00363008">
        <w:rPr>
          <w:rFonts w:ascii="仿宋" w:eastAsia="仿宋" w:hAnsi="仿宋" w:hint="eastAsia"/>
          <w:sz w:val="32"/>
          <w:szCs w:val="32"/>
        </w:rPr>
        <w:t>（一）交易类申报包括买申报、卖申报和撤销申报；</w:t>
      </w:r>
      <w:proofErr w:type="gramStart"/>
      <w:r w:rsidRPr="00363008">
        <w:rPr>
          <w:rFonts w:ascii="仿宋" w:eastAsia="仿宋" w:hAnsi="仿宋" w:hint="eastAsia"/>
          <w:sz w:val="32"/>
          <w:szCs w:val="32"/>
        </w:rPr>
        <w:t>非交易类</w:t>
      </w:r>
      <w:proofErr w:type="gramEnd"/>
      <w:r w:rsidRPr="00363008">
        <w:rPr>
          <w:rFonts w:ascii="仿宋" w:eastAsia="仿宋" w:hAnsi="仿宋" w:hint="eastAsia"/>
          <w:sz w:val="32"/>
          <w:szCs w:val="32"/>
        </w:rPr>
        <w:t>申报指除交易类申报外的其他申报，包括新股申购申报、</w:t>
      </w:r>
      <w:r w:rsidRPr="003370C5">
        <w:rPr>
          <w:rFonts w:ascii="仿宋" w:eastAsia="仿宋" w:hAnsi="仿宋" w:hint="eastAsia"/>
          <w:sz w:val="32"/>
          <w:szCs w:val="32"/>
        </w:rPr>
        <w:t>可转债</w:t>
      </w:r>
      <w:r w:rsidRPr="00363008">
        <w:rPr>
          <w:rFonts w:ascii="仿宋" w:eastAsia="仿宋" w:hAnsi="仿宋" w:hint="eastAsia"/>
          <w:sz w:val="32"/>
          <w:szCs w:val="32"/>
        </w:rPr>
        <w:t>转股和回售申报等</w:t>
      </w:r>
      <w:r w:rsidR="002B72B1">
        <w:rPr>
          <w:rFonts w:ascii="仿宋" w:eastAsia="仿宋" w:hAnsi="仿宋" w:hint="eastAsia"/>
          <w:sz w:val="32"/>
          <w:szCs w:val="32"/>
        </w:rPr>
        <w:t>；</w:t>
      </w:r>
    </w:p>
    <w:p w14:paraId="28E49E4B" w14:textId="354DD342" w:rsidR="00363008" w:rsidRPr="00363008" w:rsidRDefault="00363008" w:rsidP="001F61ED">
      <w:pPr>
        <w:spacing w:line="580" w:lineRule="exact"/>
        <w:ind w:firstLineChars="200" w:firstLine="640"/>
        <w:rPr>
          <w:rFonts w:ascii="仿宋" w:eastAsia="仿宋" w:hAnsi="仿宋"/>
          <w:sz w:val="32"/>
          <w:szCs w:val="32"/>
        </w:rPr>
      </w:pPr>
      <w:r w:rsidRPr="00363008">
        <w:rPr>
          <w:rFonts w:ascii="仿宋" w:eastAsia="仿宋" w:hAnsi="仿宋" w:hint="eastAsia"/>
          <w:sz w:val="32"/>
          <w:szCs w:val="32"/>
        </w:rPr>
        <w:t>（二）每个交易单元享受的年免费申报笔数为交易类申报、</w:t>
      </w:r>
      <w:proofErr w:type="gramStart"/>
      <w:r w:rsidRPr="00363008">
        <w:rPr>
          <w:rFonts w:ascii="仿宋" w:eastAsia="仿宋" w:hAnsi="仿宋" w:hint="eastAsia"/>
          <w:sz w:val="32"/>
          <w:szCs w:val="32"/>
        </w:rPr>
        <w:t>非交易类</w:t>
      </w:r>
      <w:proofErr w:type="gramEnd"/>
      <w:r w:rsidRPr="00363008">
        <w:rPr>
          <w:rFonts w:ascii="仿宋" w:eastAsia="仿宋" w:hAnsi="仿宋" w:hint="eastAsia"/>
          <w:sz w:val="32"/>
          <w:szCs w:val="32"/>
        </w:rPr>
        <w:t>申报</w:t>
      </w:r>
      <w:r w:rsidRPr="001F61ED">
        <w:rPr>
          <w:rFonts w:ascii="Times New Roman" w:eastAsia="仿宋" w:hAnsi="Times New Roman" w:cs="Times New Roman"/>
          <w:sz w:val="32"/>
          <w:szCs w:val="32"/>
        </w:rPr>
        <w:t>各</w:t>
      </w:r>
      <w:r w:rsidRPr="001F61ED">
        <w:rPr>
          <w:rFonts w:ascii="Times New Roman" w:eastAsia="仿宋" w:hAnsi="Times New Roman" w:cs="Times New Roman"/>
          <w:sz w:val="32"/>
          <w:szCs w:val="32"/>
        </w:rPr>
        <w:t>5000</w:t>
      </w:r>
      <w:r w:rsidRPr="001F61ED">
        <w:rPr>
          <w:rFonts w:ascii="Times New Roman" w:eastAsia="仿宋" w:hAnsi="Times New Roman" w:cs="Times New Roman"/>
          <w:sz w:val="32"/>
          <w:szCs w:val="32"/>
        </w:rPr>
        <w:t>笔</w:t>
      </w:r>
      <w:r w:rsidR="002B72B1">
        <w:rPr>
          <w:rFonts w:ascii="仿宋" w:eastAsia="仿宋" w:hAnsi="仿宋" w:hint="eastAsia"/>
          <w:sz w:val="32"/>
          <w:szCs w:val="32"/>
        </w:rPr>
        <w:t>；</w:t>
      </w:r>
    </w:p>
    <w:p w14:paraId="65997EBB" w14:textId="0D9260C8" w:rsidR="00363008" w:rsidRPr="00363008" w:rsidRDefault="00363008" w:rsidP="001F61ED">
      <w:pPr>
        <w:spacing w:line="580" w:lineRule="exact"/>
        <w:ind w:firstLineChars="200" w:firstLine="640"/>
        <w:rPr>
          <w:rFonts w:ascii="仿宋" w:eastAsia="仿宋" w:hAnsi="仿宋"/>
          <w:sz w:val="32"/>
          <w:szCs w:val="32"/>
        </w:rPr>
      </w:pPr>
      <w:r w:rsidRPr="00363008">
        <w:rPr>
          <w:rFonts w:ascii="仿宋" w:eastAsia="仿宋" w:hAnsi="仿宋" w:hint="eastAsia"/>
          <w:sz w:val="32"/>
          <w:szCs w:val="32"/>
        </w:rPr>
        <w:t>（三）每笔交易类申报收费单价为人民币</w:t>
      </w:r>
      <w:r w:rsidRPr="001F61ED">
        <w:rPr>
          <w:rFonts w:ascii="Times New Roman" w:eastAsia="仿宋" w:hAnsi="Times New Roman" w:cs="Times New Roman"/>
          <w:sz w:val="32"/>
          <w:szCs w:val="32"/>
        </w:rPr>
        <w:t>0.15</w:t>
      </w:r>
      <w:r w:rsidRPr="00363008">
        <w:rPr>
          <w:rFonts w:ascii="仿宋" w:eastAsia="仿宋" w:hAnsi="仿宋" w:hint="eastAsia"/>
          <w:sz w:val="32"/>
          <w:szCs w:val="32"/>
        </w:rPr>
        <w:t>元，每笔</w:t>
      </w:r>
      <w:proofErr w:type="gramStart"/>
      <w:r w:rsidRPr="00363008">
        <w:rPr>
          <w:rFonts w:ascii="仿宋" w:eastAsia="仿宋" w:hAnsi="仿宋" w:hint="eastAsia"/>
          <w:sz w:val="32"/>
          <w:szCs w:val="32"/>
        </w:rPr>
        <w:t>非交易类</w:t>
      </w:r>
      <w:proofErr w:type="gramEnd"/>
      <w:r w:rsidRPr="00363008">
        <w:rPr>
          <w:rFonts w:ascii="仿宋" w:eastAsia="仿宋" w:hAnsi="仿宋" w:hint="eastAsia"/>
          <w:sz w:val="32"/>
          <w:szCs w:val="32"/>
        </w:rPr>
        <w:t>申报收费单价为人民币</w:t>
      </w:r>
      <w:r w:rsidRPr="001F61ED">
        <w:rPr>
          <w:rFonts w:ascii="Times New Roman" w:eastAsia="仿宋" w:hAnsi="Times New Roman" w:cs="Times New Roman"/>
          <w:sz w:val="32"/>
          <w:szCs w:val="32"/>
        </w:rPr>
        <w:t>0.01</w:t>
      </w:r>
      <w:r w:rsidRPr="00363008">
        <w:rPr>
          <w:rFonts w:ascii="仿宋" w:eastAsia="仿宋" w:hAnsi="仿宋" w:hint="eastAsia"/>
          <w:sz w:val="32"/>
          <w:szCs w:val="32"/>
        </w:rPr>
        <w:t>元</w:t>
      </w:r>
      <w:r w:rsidR="002B72B1">
        <w:rPr>
          <w:rFonts w:ascii="仿宋" w:eastAsia="仿宋" w:hAnsi="仿宋" w:hint="eastAsia"/>
          <w:sz w:val="32"/>
          <w:szCs w:val="32"/>
        </w:rPr>
        <w:t>；</w:t>
      </w:r>
    </w:p>
    <w:p w14:paraId="13A5DAE7" w14:textId="40C83B36" w:rsidR="001E472B" w:rsidRPr="00363008" w:rsidRDefault="00363008" w:rsidP="00F631F7">
      <w:pPr>
        <w:spacing w:line="580" w:lineRule="exact"/>
        <w:ind w:firstLineChars="200" w:firstLine="640"/>
        <w:rPr>
          <w:rFonts w:ascii="仿宋" w:eastAsia="仿宋" w:hAnsi="仿宋"/>
          <w:sz w:val="32"/>
          <w:szCs w:val="32"/>
        </w:rPr>
      </w:pPr>
      <w:r w:rsidRPr="00363008">
        <w:rPr>
          <w:rFonts w:ascii="仿宋" w:eastAsia="仿宋" w:hAnsi="仿宋" w:hint="eastAsia"/>
          <w:sz w:val="32"/>
          <w:szCs w:val="32"/>
        </w:rPr>
        <w:t>按上述规则计算的交易参与人应交纳的流量费，每年不足人民币</w:t>
      </w:r>
      <w:r w:rsidRPr="001F61ED">
        <w:rPr>
          <w:rFonts w:ascii="Times New Roman" w:eastAsia="仿宋" w:hAnsi="Times New Roman" w:cs="Times New Roman"/>
          <w:sz w:val="32"/>
          <w:szCs w:val="32"/>
        </w:rPr>
        <w:t>2000</w:t>
      </w:r>
      <w:r w:rsidRPr="001F61ED">
        <w:rPr>
          <w:rFonts w:ascii="Times New Roman" w:eastAsia="仿宋" w:hAnsi="Times New Roman" w:cs="Times New Roman"/>
          <w:sz w:val="32"/>
          <w:szCs w:val="32"/>
        </w:rPr>
        <w:t>元的，</w:t>
      </w:r>
      <w:r w:rsidRPr="00363008">
        <w:rPr>
          <w:rFonts w:ascii="仿宋" w:eastAsia="仿宋" w:hAnsi="仿宋" w:hint="eastAsia"/>
          <w:sz w:val="32"/>
          <w:szCs w:val="32"/>
        </w:rPr>
        <w:t>按人民</w:t>
      </w:r>
      <w:r w:rsidRPr="001F61ED">
        <w:rPr>
          <w:rFonts w:ascii="Times New Roman" w:eastAsia="仿宋" w:hAnsi="Times New Roman" w:cs="Times New Roman"/>
          <w:sz w:val="32"/>
          <w:szCs w:val="32"/>
        </w:rPr>
        <w:t>币</w:t>
      </w:r>
      <w:r w:rsidRPr="001F61ED">
        <w:rPr>
          <w:rFonts w:ascii="Times New Roman" w:eastAsia="仿宋" w:hAnsi="Times New Roman" w:cs="Times New Roman"/>
          <w:sz w:val="32"/>
          <w:szCs w:val="32"/>
        </w:rPr>
        <w:t>2000</w:t>
      </w:r>
      <w:r w:rsidRPr="001F61ED">
        <w:rPr>
          <w:rFonts w:ascii="Times New Roman" w:eastAsia="仿宋" w:hAnsi="Times New Roman" w:cs="Times New Roman"/>
          <w:sz w:val="32"/>
          <w:szCs w:val="32"/>
        </w:rPr>
        <w:t>元计</w:t>
      </w:r>
      <w:r w:rsidRPr="00363008">
        <w:rPr>
          <w:rFonts w:ascii="仿宋" w:eastAsia="仿宋" w:hAnsi="仿宋" w:hint="eastAsia"/>
          <w:sz w:val="32"/>
          <w:szCs w:val="32"/>
        </w:rPr>
        <w:t>。</w:t>
      </w:r>
    </w:p>
    <w:p w14:paraId="5CCB875D" w14:textId="5C94616E" w:rsidR="001E472B" w:rsidRPr="00CB59AF" w:rsidRDefault="00363008" w:rsidP="00F631F7">
      <w:pPr>
        <w:spacing w:before="240" w:after="240" w:line="580" w:lineRule="exact"/>
        <w:jc w:val="center"/>
        <w:rPr>
          <w:rFonts w:ascii="黑体" w:eastAsia="黑体" w:hAnsi="黑体"/>
          <w:sz w:val="32"/>
          <w:szCs w:val="32"/>
        </w:rPr>
      </w:pPr>
      <w:r w:rsidRPr="00CB59AF">
        <w:rPr>
          <w:rFonts w:ascii="黑体" w:eastAsia="黑体" w:hAnsi="黑体" w:hint="eastAsia"/>
          <w:sz w:val="32"/>
          <w:szCs w:val="32"/>
        </w:rPr>
        <w:t>第五章  附</w:t>
      </w:r>
      <w:r w:rsidR="005A1EA8">
        <w:rPr>
          <w:rFonts w:ascii="黑体" w:eastAsia="黑体" w:hAnsi="黑体" w:hint="eastAsia"/>
          <w:sz w:val="32"/>
          <w:szCs w:val="32"/>
        </w:rPr>
        <w:t xml:space="preserve">  </w:t>
      </w:r>
      <w:r w:rsidRPr="00CB59AF">
        <w:rPr>
          <w:rFonts w:ascii="黑体" w:eastAsia="黑体" w:hAnsi="黑体" w:hint="eastAsia"/>
          <w:sz w:val="32"/>
          <w:szCs w:val="32"/>
        </w:rPr>
        <w:t>则</w:t>
      </w:r>
    </w:p>
    <w:p w14:paraId="2596C17E" w14:textId="436AAF7F" w:rsidR="00363008" w:rsidRPr="00363008" w:rsidRDefault="00363008" w:rsidP="001F61ED">
      <w:pPr>
        <w:spacing w:line="580" w:lineRule="exact"/>
        <w:ind w:firstLineChars="200" w:firstLine="640"/>
        <w:rPr>
          <w:rFonts w:ascii="仿宋" w:eastAsia="仿宋" w:hAnsi="仿宋"/>
          <w:sz w:val="32"/>
          <w:szCs w:val="32"/>
        </w:rPr>
      </w:pPr>
      <w:r w:rsidRPr="00CB59AF">
        <w:rPr>
          <w:rFonts w:ascii="黑体" w:eastAsia="黑体" w:hAnsi="黑体" w:hint="eastAsia"/>
          <w:sz w:val="32"/>
          <w:szCs w:val="32"/>
        </w:rPr>
        <w:t>第二十六条</w:t>
      </w:r>
      <w:r w:rsidR="00246278">
        <w:rPr>
          <w:rFonts w:ascii="Calibri" w:eastAsia="仿宋" w:hAnsi="Calibri" w:cs="Calibri"/>
          <w:sz w:val="32"/>
          <w:szCs w:val="32"/>
        </w:rPr>
        <w:t xml:space="preserve"> </w:t>
      </w:r>
      <w:r w:rsidR="00F631F7">
        <w:rPr>
          <w:rFonts w:ascii="Calibri" w:eastAsia="仿宋" w:hAnsi="Calibri" w:cs="Calibri"/>
          <w:sz w:val="32"/>
          <w:szCs w:val="32"/>
        </w:rPr>
        <w:t xml:space="preserve"> </w:t>
      </w:r>
      <w:r w:rsidRPr="00363008">
        <w:rPr>
          <w:rFonts w:ascii="仿宋" w:eastAsia="仿宋" w:hAnsi="仿宋" w:hint="eastAsia"/>
          <w:sz w:val="32"/>
          <w:szCs w:val="32"/>
        </w:rPr>
        <w:t>北交所和全国股转公司认可的其他机构通过设立交易单元参与</w:t>
      </w:r>
      <w:r w:rsidR="00917FA6" w:rsidRPr="00917FA6">
        <w:rPr>
          <w:rFonts w:ascii="仿宋" w:eastAsia="仿宋" w:hAnsi="仿宋" w:hint="eastAsia"/>
          <w:sz w:val="32"/>
          <w:szCs w:val="32"/>
        </w:rPr>
        <w:t>北交所和全国股</w:t>
      </w:r>
      <w:proofErr w:type="gramStart"/>
      <w:r w:rsidR="00917FA6" w:rsidRPr="00917FA6">
        <w:rPr>
          <w:rFonts w:ascii="仿宋" w:eastAsia="仿宋" w:hAnsi="仿宋" w:hint="eastAsia"/>
          <w:sz w:val="32"/>
          <w:szCs w:val="32"/>
        </w:rPr>
        <w:t>转系统</w:t>
      </w:r>
      <w:proofErr w:type="gramEnd"/>
      <w:r w:rsidRPr="00363008">
        <w:rPr>
          <w:rFonts w:ascii="仿宋" w:eastAsia="仿宋" w:hAnsi="仿宋" w:hint="eastAsia"/>
          <w:sz w:val="32"/>
          <w:szCs w:val="32"/>
        </w:rPr>
        <w:t>证券交易活动的，参照本细则执行。</w:t>
      </w:r>
    </w:p>
    <w:p w14:paraId="385D3343" w14:textId="6EDB829C" w:rsidR="00826FD3" w:rsidRDefault="00363008" w:rsidP="001F61ED">
      <w:pPr>
        <w:spacing w:line="580" w:lineRule="exact"/>
        <w:ind w:firstLineChars="200" w:firstLine="640"/>
        <w:rPr>
          <w:rFonts w:ascii="仿宋" w:eastAsia="仿宋" w:hAnsi="仿宋"/>
          <w:sz w:val="32"/>
          <w:szCs w:val="32"/>
        </w:rPr>
      </w:pPr>
      <w:r w:rsidRPr="00CB59AF">
        <w:rPr>
          <w:rFonts w:ascii="黑体" w:eastAsia="黑体" w:hAnsi="黑体" w:hint="eastAsia"/>
          <w:sz w:val="32"/>
          <w:szCs w:val="32"/>
        </w:rPr>
        <w:t>第二十七条</w:t>
      </w:r>
      <w:r w:rsidR="00246278">
        <w:rPr>
          <w:rFonts w:ascii="Calibri" w:eastAsia="仿宋" w:hAnsi="Calibri" w:cs="Calibri"/>
          <w:sz w:val="32"/>
          <w:szCs w:val="32"/>
        </w:rPr>
        <w:t xml:space="preserve"> </w:t>
      </w:r>
      <w:r w:rsidR="00F631F7">
        <w:rPr>
          <w:rFonts w:ascii="Calibri" w:eastAsia="仿宋" w:hAnsi="Calibri" w:cs="Calibri"/>
          <w:sz w:val="32"/>
          <w:szCs w:val="32"/>
        </w:rPr>
        <w:t xml:space="preserve"> </w:t>
      </w:r>
      <w:r w:rsidRPr="00363008">
        <w:rPr>
          <w:rFonts w:ascii="仿宋" w:eastAsia="仿宋" w:hAnsi="仿宋" w:hint="eastAsia"/>
          <w:sz w:val="32"/>
          <w:szCs w:val="32"/>
        </w:rPr>
        <w:t>本规则下列用语的含义：</w:t>
      </w:r>
    </w:p>
    <w:p w14:paraId="780EAA4F" w14:textId="6A84634F" w:rsidR="00363008" w:rsidRPr="00363008" w:rsidRDefault="00363008" w:rsidP="001F61ED">
      <w:pPr>
        <w:spacing w:line="580" w:lineRule="exact"/>
        <w:ind w:firstLineChars="200" w:firstLine="640"/>
        <w:rPr>
          <w:rFonts w:ascii="仿宋" w:eastAsia="仿宋" w:hAnsi="仿宋"/>
          <w:sz w:val="32"/>
          <w:szCs w:val="32"/>
        </w:rPr>
      </w:pPr>
      <w:r w:rsidRPr="00363008">
        <w:rPr>
          <w:rFonts w:ascii="仿宋" w:eastAsia="仿宋" w:hAnsi="仿宋" w:hint="eastAsia"/>
          <w:sz w:val="32"/>
          <w:szCs w:val="32"/>
        </w:rPr>
        <w:lastRenderedPageBreak/>
        <w:t>（一）交易单元，是指交易参与人</w:t>
      </w:r>
      <w:proofErr w:type="gramStart"/>
      <w:r w:rsidRPr="00363008">
        <w:rPr>
          <w:rFonts w:ascii="仿宋" w:eastAsia="仿宋" w:hAnsi="仿宋" w:hint="eastAsia"/>
          <w:sz w:val="32"/>
          <w:szCs w:val="32"/>
        </w:rPr>
        <w:t>向北交</w:t>
      </w:r>
      <w:proofErr w:type="gramEnd"/>
      <w:r w:rsidRPr="00363008">
        <w:rPr>
          <w:rFonts w:ascii="仿宋" w:eastAsia="仿宋" w:hAnsi="仿宋" w:hint="eastAsia"/>
          <w:sz w:val="32"/>
          <w:szCs w:val="32"/>
        </w:rPr>
        <w:t>所和全国股转公司申请设立的、参与北交所和全国股</w:t>
      </w:r>
      <w:proofErr w:type="gramStart"/>
      <w:r w:rsidRPr="00363008">
        <w:rPr>
          <w:rFonts w:ascii="仿宋" w:eastAsia="仿宋" w:hAnsi="仿宋" w:hint="eastAsia"/>
          <w:sz w:val="32"/>
          <w:szCs w:val="32"/>
        </w:rPr>
        <w:t>转系统</w:t>
      </w:r>
      <w:proofErr w:type="gramEnd"/>
      <w:r w:rsidRPr="00363008">
        <w:rPr>
          <w:rFonts w:ascii="仿宋" w:eastAsia="仿宋" w:hAnsi="仿宋" w:hint="eastAsia"/>
          <w:sz w:val="32"/>
          <w:szCs w:val="32"/>
        </w:rPr>
        <w:t>证券交易，并接受北交所和全国股转公司服务及监管的基本业务单位。</w:t>
      </w:r>
    </w:p>
    <w:p w14:paraId="65A8A2CA" w14:textId="77777777" w:rsidR="00363008" w:rsidRPr="00363008" w:rsidRDefault="00917FA6" w:rsidP="001F61ED">
      <w:pPr>
        <w:spacing w:line="580" w:lineRule="exact"/>
        <w:ind w:firstLineChars="200" w:firstLine="640"/>
        <w:rPr>
          <w:rFonts w:ascii="仿宋" w:eastAsia="仿宋" w:hAnsi="仿宋"/>
          <w:sz w:val="32"/>
          <w:szCs w:val="32"/>
        </w:rPr>
      </w:pPr>
      <w:r>
        <w:rPr>
          <w:rFonts w:ascii="仿宋" w:eastAsia="仿宋" w:hAnsi="仿宋" w:hint="eastAsia"/>
          <w:sz w:val="32"/>
          <w:szCs w:val="32"/>
        </w:rPr>
        <w:t>（二）网关，是指放置在交易参与人处、用于连接交易参与人与</w:t>
      </w:r>
      <w:r w:rsidR="00363008" w:rsidRPr="00363008">
        <w:rPr>
          <w:rFonts w:ascii="仿宋" w:eastAsia="仿宋" w:hAnsi="仿宋" w:hint="eastAsia"/>
          <w:sz w:val="32"/>
          <w:szCs w:val="32"/>
        </w:rPr>
        <w:t>交易系统的软硬件设施的总称。</w:t>
      </w:r>
    </w:p>
    <w:p w14:paraId="117A1699" w14:textId="77777777" w:rsidR="00363008" w:rsidRPr="00363008" w:rsidRDefault="00363008" w:rsidP="001F61ED">
      <w:pPr>
        <w:spacing w:line="580" w:lineRule="exact"/>
        <w:ind w:firstLineChars="200" w:firstLine="640"/>
        <w:rPr>
          <w:rFonts w:ascii="仿宋" w:eastAsia="仿宋" w:hAnsi="仿宋"/>
          <w:sz w:val="32"/>
          <w:szCs w:val="32"/>
        </w:rPr>
      </w:pPr>
      <w:r w:rsidRPr="00363008">
        <w:rPr>
          <w:rFonts w:ascii="仿宋" w:eastAsia="仿宋" w:hAnsi="仿宋" w:hint="eastAsia"/>
          <w:sz w:val="32"/>
          <w:szCs w:val="32"/>
        </w:rPr>
        <w:t>（三）标准流速，是指交易参与人在单位时间内通过网关</w:t>
      </w:r>
      <w:proofErr w:type="gramStart"/>
      <w:r w:rsidRPr="00363008">
        <w:rPr>
          <w:rFonts w:ascii="仿宋" w:eastAsia="仿宋" w:hAnsi="仿宋" w:hint="eastAsia"/>
          <w:sz w:val="32"/>
          <w:szCs w:val="32"/>
        </w:rPr>
        <w:t>向北交</w:t>
      </w:r>
      <w:proofErr w:type="gramEnd"/>
      <w:r w:rsidRPr="00363008">
        <w:rPr>
          <w:rFonts w:ascii="仿宋" w:eastAsia="仿宋" w:hAnsi="仿宋" w:hint="eastAsia"/>
          <w:sz w:val="32"/>
          <w:szCs w:val="32"/>
        </w:rPr>
        <w:t>所和全国股转公司交易系统发送的标准的申报笔数。</w:t>
      </w:r>
    </w:p>
    <w:p w14:paraId="13C19EB0" w14:textId="762E94F4" w:rsidR="00363008" w:rsidRPr="00363008" w:rsidRDefault="00363008" w:rsidP="001F61ED">
      <w:pPr>
        <w:spacing w:line="580" w:lineRule="exact"/>
        <w:ind w:firstLineChars="200" w:firstLine="640"/>
        <w:rPr>
          <w:rFonts w:ascii="仿宋" w:eastAsia="仿宋" w:hAnsi="仿宋"/>
          <w:sz w:val="32"/>
          <w:szCs w:val="32"/>
        </w:rPr>
      </w:pPr>
      <w:r w:rsidRPr="00CB59AF">
        <w:rPr>
          <w:rFonts w:ascii="黑体" w:eastAsia="黑体" w:hAnsi="黑体" w:hint="eastAsia"/>
          <w:sz w:val="32"/>
          <w:szCs w:val="32"/>
        </w:rPr>
        <w:t>第二十八条</w:t>
      </w:r>
      <w:r w:rsidR="00246278">
        <w:rPr>
          <w:rFonts w:ascii="Calibri" w:eastAsia="仿宋" w:hAnsi="Calibri" w:cs="Calibri"/>
          <w:sz w:val="32"/>
          <w:szCs w:val="32"/>
        </w:rPr>
        <w:t xml:space="preserve"> </w:t>
      </w:r>
      <w:r w:rsidR="00F631F7">
        <w:rPr>
          <w:rFonts w:ascii="Calibri" w:eastAsia="仿宋" w:hAnsi="Calibri" w:cs="Calibri"/>
          <w:sz w:val="32"/>
          <w:szCs w:val="32"/>
        </w:rPr>
        <w:t xml:space="preserve"> </w:t>
      </w:r>
      <w:r w:rsidRPr="00363008">
        <w:rPr>
          <w:rFonts w:ascii="仿宋" w:eastAsia="仿宋" w:hAnsi="仿宋" w:hint="eastAsia"/>
          <w:sz w:val="32"/>
          <w:szCs w:val="32"/>
        </w:rPr>
        <w:t>本细则由北交所和全国股转公司负责解释。</w:t>
      </w:r>
    </w:p>
    <w:p w14:paraId="4B7BE052" w14:textId="7D7CC600" w:rsidR="00453331" w:rsidRPr="00CB59AF" w:rsidRDefault="00363008" w:rsidP="00246278">
      <w:pPr>
        <w:spacing w:line="580" w:lineRule="exact"/>
        <w:ind w:firstLineChars="200" w:firstLine="640"/>
        <w:rPr>
          <w:rFonts w:ascii="仿宋" w:eastAsia="仿宋" w:hAnsi="仿宋"/>
          <w:sz w:val="32"/>
          <w:szCs w:val="32"/>
        </w:rPr>
      </w:pPr>
      <w:r w:rsidRPr="00CB59AF">
        <w:rPr>
          <w:rFonts w:ascii="黑体" w:eastAsia="黑体" w:hAnsi="黑体" w:hint="eastAsia"/>
          <w:sz w:val="32"/>
          <w:szCs w:val="32"/>
        </w:rPr>
        <w:t>第二十九条</w:t>
      </w:r>
      <w:r w:rsidR="00246278">
        <w:rPr>
          <w:rFonts w:ascii="Calibri" w:eastAsia="仿宋" w:hAnsi="Calibri" w:cs="Calibri"/>
          <w:sz w:val="32"/>
          <w:szCs w:val="32"/>
        </w:rPr>
        <w:t xml:space="preserve"> </w:t>
      </w:r>
      <w:r w:rsidR="00F631F7">
        <w:rPr>
          <w:rFonts w:ascii="Calibri" w:eastAsia="仿宋" w:hAnsi="Calibri" w:cs="Calibri"/>
          <w:sz w:val="32"/>
          <w:szCs w:val="32"/>
        </w:rPr>
        <w:t xml:space="preserve"> </w:t>
      </w:r>
      <w:r w:rsidRPr="00363008">
        <w:rPr>
          <w:rFonts w:ascii="仿宋" w:eastAsia="仿宋" w:hAnsi="仿宋" w:hint="eastAsia"/>
          <w:sz w:val="32"/>
          <w:szCs w:val="32"/>
        </w:rPr>
        <w:t>本细则</w:t>
      </w:r>
      <w:r w:rsidRPr="001F61ED">
        <w:rPr>
          <w:rFonts w:ascii="Times New Roman" w:eastAsia="仿宋" w:hAnsi="Times New Roman" w:cs="Times New Roman"/>
          <w:sz w:val="32"/>
          <w:szCs w:val="32"/>
        </w:rPr>
        <w:t>自</w:t>
      </w:r>
      <w:r w:rsidR="005F56D0" w:rsidRPr="001F61ED">
        <w:rPr>
          <w:rFonts w:ascii="Times New Roman" w:eastAsia="仿宋" w:hAnsi="Times New Roman" w:cs="Times New Roman"/>
          <w:sz w:val="32"/>
          <w:szCs w:val="32"/>
        </w:rPr>
        <w:t>2021</w:t>
      </w:r>
      <w:r w:rsidR="00A13420">
        <w:rPr>
          <w:rFonts w:ascii="仿宋" w:eastAsia="仿宋" w:hAnsi="仿宋" w:hint="eastAsia"/>
          <w:sz w:val="32"/>
          <w:szCs w:val="32"/>
        </w:rPr>
        <w:t>年</w:t>
      </w:r>
      <w:r w:rsidR="0015297D">
        <w:rPr>
          <w:rFonts w:ascii="Times New Roman" w:eastAsia="仿宋" w:hAnsi="Times New Roman"/>
          <w:color w:val="000000" w:themeColor="text1"/>
          <w:kern w:val="0"/>
          <w:sz w:val="32"/>
          <w:szCs w:val="32"/>
        </w:rPr>
        <w:t>11</w:t>
      </w:r>
      <w:r w:rsidR="00A13420">
        <w:rPr>
          <w:rFonts w:ascii="仿宋" w:eastAsia="仿宋" w:hAnsi="仿宋"/>
          <w:sz w:val="32"/>
          <w:szCs w:val="32"/>
        </w:rPr>
        <w:t>月</w:t>
      </w:r>
      <w:r w:rsidR="0015297D">
        <w:rPr>
          <w:rFonts w:ascii="Times New Roman" w:eastAsia="仿宋" w:hAnsi="Times New Roman"/>
          <w:color w:val="000000" w:themeColor="text1"/>
          <w:kern w:val="0"/>
          <w:sz w:val="32"/>
          <w:szCs w:val="32"/>
        </w:rPr>
        <w:t>15</w:t>
      </w:r>
      <w:r w:rsidR="00A13420">
        <w:rPr>
          <w:rFonts w:ascii="仿宋" w:eastAsia="仿宋" w:hAnsi="仿宋"/>
          <w:sz w:val="32"/>
          <w:szCs w:val="32"/>
        </w:rPr>
        <w:t>日</w:t>
      </w:r>
      <w:r w:rsidRPr="00363008">
        <w:rPr>
          <w:rFonts w:ascii="仿宋" w:eastAsia="仿宋" w:hAnsi="仿宋" w:hint="eastAsia"/>
          <w:sz w:val="32"/>
          <w:szCs w:val="32"/>
        </w:rPr>
        <w:t>起施行。</w:t>
      </w:r>
    </w:p>
    <w:p w14:paraId="30197A06" w14:textId="32D567E4" w:rsidR="00E774B0" w:rsidRPr="00471F5D" w:rsidRDefault="00E774B0" w:rsidP="001E472B">
      <w:pPr>
        <w:spacing w:line="600" w:lineRule="atLeast"/>
        <w:jc w:val="center"/>
        <w:rPr>
          <w:rFonts w:ascii="仿宋" w:eastAsia="仿宋" w:hAnsi="仿宋"/>
          <w:sz w:val="32"/>
          <w:szCs w:val="32"/>
        </w:rPr>
      </w:pPr>
    </w:p>
    <w:sectPr w:rsidR="00E774B0" w:rsidRPr="00471F5D" w:rsidSect="005A1EA8">
      <w:footerReference w:type="even" r:id="rId6"/>
      <w:footerReference w:type="default" r:id="rId7"/>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A8994" w14:textId="77777777" w:rsidR="00580CA1" w:rsidRDefault="00580CA1" w:rsidP="00DD440E">
      <w:r>
        <w:separator/>
      </w:r>
    </w:p>
  </w:endnote>
  <w:endnote w:type="continuationSeparator" w:id="0">
    <w:p w14:paraId="2148641A" w14:textId="77777777" w:rsidR="00580CA1" w:rsidRDefault="00580CA1" w:rsidP="00DD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759573"/>
      <w:docPartObj>
        <w:docPartGallery w:val="Page Numbers (Bottom of Page)"/>
        <w:docPartUnique/>
      </w:docPartObj>
    </w:sdtPr>
    <w:sdtEndPr>
      <w:rPr>
        <w:rFonts w:asciiTheme="minorEastAsia" w:hAnsiTheme="minorEastAsia"/>
        <w:sz w:val="28"/>
        <w:szCs w:val="28"/>
      </w:rPr>
    </w:sdtEndPr>
    <w:sdtContent>
      <w:p w14:paraId="4873A9CA" w14:textId="3FB75BD1" w:rsidR="005A1EA8" w:rsidRPr="005A1EA8" w:rsidRDefault="005A1EA8">
        <w:pPr>
          <w:pStyle w:val="a4"/>
          <w:rPr>
            <w:rFonts w:asciiTheme="minorEastAsia" w:hAnsiTheme="minorEastAsia"/>
            <w:sz w:val="28"/>
            <w:szCs w:val="28"/>
          </w:rPr>
        </w:pPr>
        <w:r w:rsidRPr="005A1EA8">
          <w:rPr>
            <w:rFonts w:asciiTheme="minorEastAsia" w:hAnsiTheme="minorEastAsia"/>
            <w:sz w:val="28"/>
            <w:szCs w:val="28"/>
          </w:rPr>
          <w:fldChar w:fldCharType="begin"/>
        </w:r>
        <w:r w:rsidRPr="005A1EA8">
          <w:rPr>
            <w:rFonts w:asciiTheme="minorEastAsia" w:hAnsiTheme="minorEastAsia"/>
            <w:sz w:val="28"/>
            <w:szCs w:val="28"/>
          </w:rPr>
          <w:instrText>PAGE   \* MERGEFORMAT</w:instrText>
        </w:r>
        <w:r w:rsidRPr="005A1EA8">
          <w:rPr>
            <w:rFonts w:asciiTheme="minorEastAsia" w:hAnsiTheme="minorEastAsia"/>
            <w:sz w:val="28"/>
            <w:szCs w:val="28"/>
          </w:rPr>
          <w:fldChar w:fldCharType="separate"/>
        </w:r>
        <w:r w:rsidR="00C77664" w:rsidRPr="00C77664">
          <w:rPr>
            <w:rFonts w:asciiTheme="minorEastAsia" w:hAnsiTheme="minorEastAsia"/>
            <w:noProof/>
            <w:sz w:val="28"/>
            <w:szCs w:val="28"/>
            <w:lang w:val="zh-CN"/>
          </w:rPr>
          <w:t>-</w:t>
        </w:r>
        <w:r w:rsidR="00C77664">
          <w:rPr>
            <w:rFonts w:asciiTheme="minorEastAsia" w:hAnsiTheme="minorEastAsia"/>
            <w:noProof/>
            <w:sz w:val="28"/>
            <w:szCs w:val="28"/>
          </w:rPr>
          <w:t xml:space="preserve"> 6 -</w:t>
        </w:r>
        <w:r w:rsidRPr="005A1EA8">
          <w:rPr>
            <w:rFonts w:asciiTheme="minorEastAsia" w:hAnsiTheme="minorEastAsia"/>
            <w:sz w:val="28"/>
            <w:szCs w:val="28"/>
          </w:rPr>
          <w:fldChar w:fldCharType="end"/>
        </w:r>
      </w:p>
    </w:sdtContent>
  </w:sdt>
  <w:p w14:paraId="4206826A" w14:textId="77777777" w:rsidR="005A1EA8" w:rsidRDefault="005A1EA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973370"/>
      <w:docPartObj>
        <w:docPartGallery w:val="Page Numbers (Bottom of Page)"/>
        <w:docPartUnique/>
      </w:docPartObj>
    </w:sdtPr>
    <w:sdtEndPr>
      <w:rPr>
        <w:rFonts w:asciiTheme="minorEastAsia" w:hAnsiTheme="minorEastAsia"/>
        <w:sz w:val="28"/>
        <w:szCs w:val="28"/>
      </w:rPr>
    </w:sdtEndPr>
    <w:sdtContent>
      <w:p w14:paraId="45F6D5F3" w14:textId="5F3D372B" w:rsidR="005A1EA8" w:rsidRPr="005A1EA8" w:rsidRDefault="005A1EA8">
        <w:pPr>
          <w:pStyle w:val="a4"/>
          <w:jc w:val="right"/>
          <w:rPr>
            <w:rFonts w:asciiTheme="minorEastAsia" w:hAnsiTheme="minorEastAsia"/>
            <w:sz w:val="28"/>
            <w:szCs w:val="28"/>
          </w:rPr>
        </w:pPr>
        <w:r w:rsidRPr="005A1EA8">
          <w:rPr>
            <w:rFonts w:asciiTheme="minorEastAsia" w:hAnsiTheme="minorEastAsia"/>
            <w:sz w:val="28"/>
            <w:szCs w:val="28"/>
          </w:rPr>
          <w:fldChar w:fldCharType="begin"/>
        </w:r>
        <w:r w:rsidRPr="005A1EA8">
          <w:rPr>
            <w:rFonts w:asciiTheme="minorEastAsia" w:hAnsiTheme="minorEastAsia"/>
            <w:sz w:val="28"/>
            <w:szCs w:val="28"/>
          </w:rPr>
          <w:instrText>PAGE   \* MERGEFORMAT</w:instrText>
        </w:r>
        <w:r w:rsidRPr="005A1EA8">
          <w:rPr>
            <w:rFonts w:asciiTheme="minorEastAsia" w:hAnsiTheme="minorEastAsia"/>
            <w:sz w:val="28"/>
            <w:szCs w:val="28"/>
          </w:rPr>
          <w:fldChar w:fldCharType="separate"/>
        </w:r>
        <w:r w:rsidR="00C77664" w:rsidRPr="00C77664">
          <w:rPr>
            <w:rFonts w:asciiTheme="minorEastAsia" w:hAnsiTheme="minorEastAsia"/>
            <w:noProof/>
            <w:sz w:val="28"/>
            <w:szCs w:val="28"/>
            <w:lang w:val="zh-CN"/>
          </w:rPr>
          <w:t>-</w:t>
        </w:r>
        <w:r w:rsidR="00C77664">
          <w:rPr>
            <w:rFonts w:asciiTheme="minorEastAsia" w:hAnsiTheme="minorEastAsia"/>
            <w:noProof/>
            <w:sz w:val="28"/>
            <w:szCs w:val="28"/>
          </w:rPr>
          <w:t xml:space="preserve"> 1 -</w:t>
        </w:r>
        <w:r w:rsidRPr="005A1EA8">
          <w:rPr>
            <w:rFonts w:asciiTheme="minorEastAsia" w:hAnsiTheme="minorEastAsia"/>
            <w:sz w:val="28"/>
            <w:szCs w:val="28"/>
          </w:rPr>
          <w:fldChar w:fldCharType="end"/>
        </w:r>
      </w:p>
    </w:sdtContent>
  </w:sdt>
  <w:p w14:paraId="4F46D3C3" w14:textId="77777777" w:rsidR="00DD440E" w:rsidRDefault="00DD44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ECD33" w14:textId="77777777" w:rsidR="00580CA1" w:rsidRDefault="00580CA1" w:rsidP="00DD440E">
      <w:r>
        <w:separator/>
      </w:r>
    </w:p>
  </w:footnote>
  <w:footnote w:type="continuationSeparator" w:id="0">
    <w:p w14:paraId="1D539B86" w14:textId="77777777" w:rsidR="00580CA1" w:rsidRDefault="00580CA1" w:rsidP="00DD4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BE6"/>
    <w:rsid w:val="00007892"/>
    <w:rsid w:val="00023A47"/>
    <w:rsid w:val="00064BBF"/>
    <w:rsid w:val="000716DC"/>
    <w:rsid w:val="000A504B"/>
    <w:rsid w:val="000B158C"/>
    <w:rsid w:val="000B3BCD"/>
    <w:rsid w:val="000D4EFB"/>
    <w:rsid w:val="001353C8"/>
    <w:rsid w:val="0015297D"/>
    <w:rsid w:val="00176F07"/>
    <w:rsid w:val="0019066E"/>
    <w:rsid w:val="001A5880"/>
    <w:rsid w:val="001D6C44"/>
    <w:rsid w:val="001E472B"/>
    <w:rsid w:val="001F61ED"/>
    <w:rsid w:val="0022651D"/>
    <w:rsid w:val="00246278"/>
    <w:rsid w:val="002B72B1"/>
    <w:rsid w:val="002F749C"/>
    <w:rsid w:val="003370C5"/>
    <w:rsid w:val="00344C3E"/>
    <w:rsid w:val="00363008"/>
    <w:rsid w:val="00373D9D"/>
    <w:rsid w:val="003A0D55"/>
    <w:rsid w:val="003B33EF"/>
    <w:rsid w:val="003B6D27"/>
    <w:rsid w:val="003D0409"/>
    <w:rsid w:val="003D4408"/>
    <w:rsid w:val="003E30D6"/>
    <w:rsid w:val="00453331"/>
    <w:rsid w:val="00471F5D"/>
    <w:rsid w:val="004B0829"/>
    <w:rsid w:val="004D1DFB"/>
    <w:rsid w:val="004F2AE7"/>
    <w:rsid w:val="00503B69"/>
    <w:rsid w:val="00530B01"/>
    <w:rsid w:val="005419F9"/>
    <w:rsid w:val="0057605D"/>
    <w:rsid w:val="00580CA1"/>
    <w:rsid w:val="005A1EA8"/>
    <w:rsid w:val="005A5FC8"/>
    <w:rsid w:val="005D4D84"/>
    <w:rsid w:val="005F2818"/>
    <w:rsid w:val="005F56D0"/>
    <w:rsid w:val="006065CB"/>
    <w:rsid w:val="0061271A"/>
    <w:rsid w:val="00616B25"/>
    <w:rsid w:val="006352F8"/>
    <w:rsid w:val="00637A02"/>
    <w:rsid w:val="0066734D"/>
    <w:rsid w:val="00681631"/>
    <w:rsid w:val="00690DED"/>
    <w:rsid w:val="006A77BC"/>
    <w:rsid w:val="006B4B40"/>
    <w:rsid w:val="006B6EAF"/>
    <w:rsid w:val="007069A0"/>
    <w:rsid w:val="00733CA4"/>
    <w:rsid w:val="0074475B"/>
    <w:rsid w:val="0075065C"/>
    <w:rsid w:val="007914FE"/>
    <w:rsid w:val="007A73DA"/>
    <w:rsid w:val="00826FD3"/>
    <w:rsid w:val="00836BB0"/>
    <w:rsid w:val="00853461"/>
    <w:rsid w:val="00856BE6"/>
    <w:rsid w:val="00864E9B"/>
    <w:rsid w:val="008735FE"/>
    <w:rsid w:val="00880468"/>
    <w:rsid w:val="008850F6"/>
    <w:rsid w:val="00896CF1"/>
    <w:rsid w:val="008A222C"/>
    <w:rsid w:val="008A6758"/>
    <w:rsid w:val="008A750F"/>
    <w:rsid w:val="008F6954"/>
    <w:rsid w:val="009129F7"/>
    <w:rsid w:val="00917FA6"/>
    <w:rsid w:val="00936A9A"/>
    <w:rsid w:val="009623AF"/>
    <w:rsid w:val="00973281"/>
    <w:rsid w:val="00975646"/>
    <w:rsid w:val="00976563"/>
    <w:rsid w:val="00A13420"/>
    <w:rsid w:val="00A20F46"/>
    <w:rsid w:val="00A34A8D"/>
    <w:rsid w:val="00A45D69"/>
    <w:rsid w:val="00A637CD"/>
    <w:rsid w:val="00AA3C51"/>
    <w:rsid w:val="00AD2602"/>
    <w:rsid w:val="00B03BC4"/>
    <w:rsid w:val="00B0573B"/>
    <w:rsid w:val="00B20A53"/>
    <w:rsid w:val="00B3392E"/>
    <w:rsid w:val="00B37CAE"/>
    <w:rsid w:val="00B37DC0"/>
    <w:rsid w:val="00B565B2"/>
    <w:rsid w:val="00B660C7"/>
    <w:rsid w:val="00B838F3"/>
    <w:rsid w:val="00B919D3"/>
    <w:rsid w:val="00B92F8B"/>
    <w:rsid w:val="00BC5B34"/>
    <w:rsid w:val="00BD168F"/>
    <w:rsid w:val="00BE6CE3"/>
    <w:rsid w:val="00C16533"/>
    <w:rsid w:val="00C17001"/>
    <w:rsid w:val="00C67C37"/>
    <w:rsid w:val="00C77664"/>
    <w:rsid w:val="00CB2EBC"/>
    <w:rsid w:val="00CB59AF"/>
    <w:rsid w:val="00CC2728"/>
    <w:rsid w:val="00CC580D"/>
    <w:rsid w:val="00CD271A"/>
    <w:rsid w:val="00CF74C7"/>
    <w:rsid w:val="00D240A6"/>
    <w:rsid w:val="00D63EED"/>
    <w:rsid w:val="00DB45C3"/>
    <w:rsid w:val="00DC0448"/>
    <w:rsid w:val="00DC3961"/>
    <w:rsid w:val="00DC60BE"/>
    <w:rsid w:val="00DD440E"/>
    <w:rsid w:val="00DE7A0F"/>
    <w:rsid w:val="00DF38C5"/>
    <w:rsid w:val="00DF78B5"/>
    <w:rsid w:val="00E03BD3"/>
    <w:rsid w:val="00E35AF9"/>
    <w:rsid w:val="00E417AE"/>
    <w:rsid w:val="00E774B0"/>
    <w:rsid w:val="00E858B2"/>
    <w:rsid w:val="00E97FFE"/>
    <w:rsid w:val="00EB2BFF"/>
    <w:rsid w:val="00F03072"/>
    <w:rsid w:val="00F17A14"/>
    <w:rsid w:val="00F301F8"/>
    <w:rsid w:val="00F631F7"/>
    <w:rsid w:val="00FE4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13C22"/>
  <w15:chartTrackingRefBased/>
  <w15:docId w15:val="{3AC59F05-2B00-4FCC-B686-7118A372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44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440E"/>
    <w:rPr>
      <w:sz w:val="18"/>
      <w:szCs w:val="18"/>
    </w:rPr>
  </w:style>
  <w:style w:type="paragraph" w:styleId="a4">
    <w:name w:val="footer"/>
    <w:basedOn w:val="a"/>
    <w:link w:val="Char0"/>
    <w:uiPriority w:val="99"/>
    <w:unhideWhenUsed/>
    <w:rsid w:val="00DD440E"/>
    <w:pPr>
      <w:tabs>
        <w:tab w:val="center" w:pos="4153"/>
        <w:tab w:val="right" w:pos="8306"/>
      </w:tabs>
      <w:snapToGrid w:val="0"/>
      <w:jc w:val="left"/>
    </w:pPr>
    <w:rPr>
      <w:sz w:val="18"/>
      <w:szCs w:val="18"/>
    </w:rPr>
  </w:style>
  <w:style w:type="character" w:customStyle="1" w:styleId="Char0">
    <w:name w:val="页脚 Char"/>
    <w:basedOn w:val="a0"/>
    <w:link w:val="a4"/>
    <w:uiPriority w:val="99"/>
    <w:rsid w:val="00DD440E"/>
    <w:rPr>
      <w:sz w:val="18"/>
      <w:szCs w:val="18"/>
    </w:rPr>
  </w:style>
  <w:style w:type="paragraph" w:styleId="a5">
    <w:name w:val="Balloon Text"/>
    <w:basedOn w:val="a"/>
    <w:link w:val="Char1"/>
    <w:uiPriority w:val="99"/>
    <w:semiHidden/>
    <w:unhideWhenUsed/>
    <w:rsid w:val="004D1DFB"/>
    <w:rPr>
      <w:sz w:val="18"/>
      <w:szCs w:val="18"/>
    </w:rPr>
  </w:style>
  <w:style w:type="character" w:customStyle="1" w:styleId="Char1">
    <w:name w:val="批注框文本 Char"/>
    <w:basedOn w:val="a0"/>
    <w:link w:val="a5"/>
    <w:uiPriority w:val="99"/>
    <w:semiHidden/>
    <w:rsid w:val="004D1DFB"/>
    <w:rPr>
      <w:sz w:val="18"/>
      <w:szCs w:val="18"/>
    </w:rPr>
  </w:style>
  <w:style w:type="character" w:styleId="a6">
    <w:name w:val="annotation reference"/>
    <w:basedOn w:val="a0"/>
    <w:uiPriority w:val="99"/>
    <w:semiHidden/>
    <w:unhideWhenUsed/>
    <w:rsid w:val="00B838F3"/>
    <w:rPr>
      <w:sz w:val="21"/>
      <w:szCs w:val="21"/>
    </w:rPr>
  </w:style>
  <w:style w:type="paragraph" w:styleId="a7">
    <w:name w:val="annotation text"/>
    <w:basedOn w:val="a"/>
    <w:link w:val="Char2"/>
    <w:uiPriority w:val="99"/>
    <w:semiHidden/>
    <w:unhideWhenUsed/>
    <w:rsid w:val="00B838F3"/>
    <w:pPr>
      <w:jc w:val="left"/>
    </w:pPr>
  </w:style>
  <w:style w:type="character" w:customStyle="1" w:styleId="Char2">
    <w:name w:val="批注文字 Char"/>
    <w:basedOn w:val="a0"/>
    <w:link w:val="a7"/>
    <w:uiPriority w:val="99"/>
    <w:semiHidden/>
    <w:rsid w:val="00B838F3"/>
  </w:style>
  <w:style w:type="paragraph" w:styleId="a8">
    <w:name w:val="annotation subject"/>
    <w:basedOn w:val="a7"/>
    <w:next w:val="a7"/>
    <w:link w:val="Char3"/>
    <w:uiPriority w:val="99"/>
    <w:semiHidden/>
    <w:unhideWhenUsed/>
    <w:rsid w:val="00B838F3"/>
    <w:rPr>
      <w:b/>
      <w:bCs/>
    </w:rPr>
  </w:style>
  <w:style w:type="character" w:customStyle="1" w:styleId="Char3">
    <w:name w:val="批注主题 Char"/>
    <w:basedOn w:val="Char2"/>
    <w:link w:val="a8"/>
    <w:uiPriority w:val="99"/>
    <w:semiHidden/>
    <w:rsid w:val="00B838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2021-11-02T13:23:00Z</cp:lastPrinted>
  <dcterms:created xsi:type="dcterms:W3CDTF">2021-09-24T02:03:00Z</dcterms:created>
  <dcterms:modified xsi:type="dcterms:W3CDTF">2021-11-02T13:23:00Z</dcterms:modified>
</cp:coreProperties>
</file>