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rPr>
          <w:rFonts w:ascii="Times New Roman" w:hAnsi="Times New Roman" w:eastAsia="黑体"/>
          <w:color w:val="000000"/>
          <w:sz w:val="32"/>
          <w:szCs w:val="32"/>
        </w:rPr>
      </w:pPr>
    </w:p>
    <w:p>
      <w:pPr>
        <w:shd w:val="clear" w:color="auto" w:fill="FFFFFF"/>
        <w:spacing w:line="600" w:lineRule="exact"/>
        <w:rPr>
          <w:rFonts w:ascii="Times New Roman" w:hAnsi="Times New Roman" w:eastAsia="黑体"/>
          <w:color w:val="000000"/>
          <w:sz w:val="32"/>
          <w:szCs w:val="32"/>
        </w:rPr>
      </w:pPr>
    </w:p>
    <w:p>
      <w:pPr>
        <w:shd w:val="clear" w:color="auto" w:fill="FFFFFF"/>
        <w:spacing w:line="600" w:lineRule="exact"/>
        <w:jc w:val="center"/>
        <w:rPr>
          <w:rFonts w:ascii="Times New Roman" w:hAnsi="Times New Roman" w:eastAsia="方正大标宋简体" w:cstheme="minorBidi"/>
          <w:color w:val="000000"/>
          <w:sz w:val="44"/>
          <w:szCs w:val="42"/>
        </w:rPr>
      </w:pPr>
      <w:r>
        <w:rPr>
          <w:rFonts w:ascii="Times New Roman" w:hAnsi="Times New Roman" w:eastAsia="方正大标宋简体" w:cstheme="minorBidi"/>
          <w:color w:val="000000"/>
          <w:sz w:val="44"/>
          <w:szCs w:val="42"/>
        </w:rPr>
        <w:t>全国中小企业股份转让系统分层管理办法</w:t>
      </w:r>
    </w:p>
    <w:p>
      <w:pPr>
        <w:spacing w:before="240" w:after="240" w:line="600" w:lineRule="exact"/>
        <w:ind w:firstLine="640" w:firstLineChars="200"/>
        <w:outlineLvl w:val="0"/>
        <w:rPr>
          <w:rFonts w:ascii="Times New Roman" w:hAnsi="Times New Roman" w:eastAsia="楷体"/>
          <w:sz w:val="32"/>
          <w:szCs w:val="32"/>
        </w:rPr>
      </w:pPr>
      <w:r>
        <w:rPr>
          <w:rFonts w:ascii="Times New Roman" w:hAnsi="Times New Roman" w:eastAsia="楷体"/>
          <w:sz w:val="32"/>
          <w:szCs w:val="32"/>
        </w:rPr>
        <w:t>（2016年5月27日发布《全国中小企业股份转让系统挂牌公司分层管理办法（试行）》，2017年12月22日第一次修订并更名为《全国中小企业股份转让系统挂牌公司分层管理办法》，2019年12月27日第二次修订并更名为《全国中小企业股份转让系统分层管理办法》，2021年7月30日第三次修订，2022年</w:t>
      </w:r>
      <w:r>
        <w:rPr>
          <w:rFonts w:hint="default" w:ascii="Times New Roman" w:hAnsi="Times New Roman" w:eastAsia="楷体"/>
          <w:sz w:val="32"/>
          <w:szCs w:val="32"/>
          <w:lang w:val="en"/>
        </w:rPr>
        <w:t>3</w:t>
      </w:r>
      <w:r>
        <w:rPr>
          <w:rFonts w:ascii="Times New Roman" w:hAnsi="Times New Roman" w:eastAsia="楷体"/>
          <w:sz w:val="32"/>
          <w:szCs w:val="32"/>
        </w:rPr>
        <w:t>月</w:t>
      </w:r>
      <w:r>
        <w:rPr>
          <w:rFonts w:hint="default" w:ascii="Times New Roman" w:hAnsi="Times New Roman" w:eastAsia="楷体"/>
          <w:sz w:val="32"/>
          <w:szCs w:val="32"/>
          <w:lang w:val="en"/>
        </w:rPr>
        <w:t>4</w:t>
      </w:r>
      <w:bookmarkStart w:id="0" w:name="_GoBack"/>
      <w:bookmarkEnd w:id="0"/>
      <w:r>
        <w:rPr>
          <w:rFonts w:ascii="Times New Roman" w:hAnsi="Times New Roman" w:eastAsia="楷体"/>
          <w:sz w:val="32"/>
          <w:szCs w:val="32"/>
        </w:rPr>
        <w:t>日第四次修订）</w:t>
      </w:r>
    </w:p>
    <w:p>
      <w:pPr>
        <w:spacing w:before="240" w:after="240" w:line="600" w:lineRule="exact"/>
        <w:jc w:val="center"/>
        <w:outlineLvl w:val="0"/>
        <w:rPr>
          <w:rFonts w:ascii="Times New Roman" w:hAnsi="Times New Roman" w:eastAsia="黑体" w:cstheme="minorBidi"/>
          <w:bCs/>
          <w:sz w:val="32"/>
          <w:szCs w:val="32"/>
        </w:rPr>
      </w:pPr>
      <w:r>
        <w:rPr>
          <w:rFonts w:ascii="Times New Roman" w:hAnsi="Times New Roman" w:eastAsia="黑体" w:cstheme="minorBidi"/>
          <w:bCs/>
          <w:sz w:val="32"/>
          <w:szCs w:val="32"/>
        </w:rPr>
        <w:t>第一章  总</w:t>
      </w:r>
      <w:r>
        <w:rPr>
          <w:rFonts w:hint="eastAsia" w:ascii="Times New Roman" w:hAnsi="Times New Roman" w:eastAsia="黑体" w:cstheme="minorBidi"/>
          <w:bCs/>
          <w:sz w:val="32"/>
          <w:szCs w:val="32"/>
        </w:rPr>
        <w:t xml:space="preserve">  </w:t>
      </w:r>
      <w:r>
        <w:rPr>
          <w:rFonts w:ascii="Times New Roman" w:hAnsi="Times New Roman" w:eastAsia="黑体" w:cstheme="minorBidi"/>
          <w:bCs/>
          <w:sz w:val="32"/>
          <w:szCs w:val="32"/>
        </w:rPr>
        <w:t>则</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第一条</w:t>
      </w:r>
      <w:r>
        <w:rPr>
          <w:rFonts w:ascii="仿宋" w:hAnsi="仿宋" w:eastAsia="仿宋"/>
          <w:b/>
          <w:kern w:val="0"/>
          <w:sz w:val="32"/>
        </w:rPr>
        <w:t xml:space="preserve">  </w:t>
      </w:r>
      <w:r>
        <w:rPr>
          <w:rFonts w:ascii="Times New Roman" w:hAnsi="Times New Roman" w:eastAsia="仿宋" w:cstheme="minorBidi"/>
          <w:kern w:val="0"/>
          <w:sz w:val="32"/>
          <w:szCs w:val="32"/>
        </w:rPr>
        <w:t>为了进一步完善全国中小企业股份转让系统（以下简称全国股转系统）市场功能，实施差异化制度安排，根据</w:t>
      </w:r>
      <w:r>
        <w:rPr>
          <w:rFonts w:hint="eastAsia" w:ascii="Times New Roman" w:hAnsi="Times New Roman" w:eastAsia="仿宋" w:cstheme="minorBidi"/>
          <w:kern w:val="0"/>
          <w:sz w:val="32"/>
          <w:szCs w:val="32"/>
        </w:rPr>
        <w:t>《证券法》</w:t>
      </w:r>
      <w:r>
        <w:rPr>
          <w:rFonts w:ascii="Times New Roman" w:hAnsi="Times New Roman" w:eastAsia="仿宋" w:cstheme="minorBidi"/>
          <w:kern w:val="0"/>
          <w:sz w:val="32"/>
          <w:szCs w:val="32"/>
        </w:rPr>
        <w:t>等法律法规、部门规章和其他规范性文件，制定本办法。</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第二条</w:t>
      </w:r>
      <w:r>
        <w:rPr>
          <w:rFonts w:ascii="仿宋" w:hAnsi="仿宋" w:eastAsia="仿宋"/>
          <w:b/>
          <w:kern w:val="0"/>
          <w:sz w:val="32"/>
        </w:rPr>
        <w:t xml:space="preserve">  </w:t>
      </w:r>
      <w:r>
        <w:rPr>
          <w:rFonts w:ascii="Times New Roman" w:hAnsi="Times New Roman" w:eastAsia="仿宋" w:cstheme="minorBidi"/>
          <w:kern w:val="0"/>
          <w:sz w:val="32"/>
          <w:szCs w:val="32"/>
        </w:rPr>
        <w:t>全国股转系统设置创新层和</w:t>
      </w:r>
      <w:r>
        <w:rPr>
          <w:rFonts w:hint="eastAsia" w:ascii="Times New Roman" w:hAnsi="Times New Roman" w:eastAsia="仿宋" w:cstheme="minorBidi"/>
          <w:kern w:val="0"/>
          <w:sz w:val="32"/>
          <w:szCs w:val="32"/>
        </w:rPr>
        <w:t>基础层，全国中小企业股份转让系统有限责任公司（以下简称全国股转公司）</w:t>
      </w:r>
      <w:r>
        <w:rPr>
          <w:rFonts w:ascii="Times New Roman" w:hAnsi="Times New Roman" w:eastAsia="仿宋" w:cstheme="minorBidi"/>
          <w:kern w:val="0"/>
          <w:sz w:val="32"/>
          <w:szCs w:val="32"/>
        </w:rPr>
        <w:t>对挂牌公司实行分层管理。</w:t>
      </w:r>
    </w:p>
    <w:p>
      <w:pPr>
        <w:spacing w:line="600" w:lineRule="exact"/>
        <w:ind w:firstLine="640" w:firstLineChars="200"/>
        <w:rPr>
          <w:rFonts w:ascii="Times New Roman" w:hAnsi="Times New Roman" w:eastAsia="仿宋" w:cstheme="minorBidi"/>
          <w:kern w:val="0"/>
          <w:sz w:val="32"/>
          <w:szCs w:val="32"/>
        </w:rPr>
      </w:pPr>
      <w:r>
        <w:rPr>
          <w:rFonts w:hint="eastAsia" w:ascii="Times New Roman" w:hAnsi="Times New Roman" w:eastAsia="仿宋" w:cstheme="minorBidi"/>
          <w:kern w:val="0"/>
          <w:sz w:val="32"/>
          <w:szCs w:val="32"/>
        </w:rPr>
        <w:t>挂牌公司的分层管理包括公司申请挂牌同时进入创新层，基础层挂牌公司进入创新层，以及创新层挂牌公司调整至基础层。</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第三条</w:t>
      </w:r>
      <w:r>
        <w:rPr>
          <w:rFonts w:ascii="仿宋" w:hAnsi="仿宋" w:eastAsia="仿宋"/>
          <w:b/>
          <w:kern w:val="0"/>
          <w:sz w:val="32"/>
        </w:rPr>
        <w:t xml:space="preserve">  </w:t>
      </w:r>
      <w:r>
        <w:rPr>
          <w:rFonts w:ascii="Times New Roman" w:hAnsi="Times New Roman" w:eastAsia="仿宋" w:cstheme="minorBidi"/>
          <w:kern w:val="0"/>
          <w:sz w:val="32"/>
          <w:szCs w:val="32"/>
        </w:rPr>
        <w:t>挂牌公司分层管理遵循</w:t>
      </w:r>
      <w:r>
        <w:rPr>
          <w:rFonts w:hint="eastAsia" w:ascii="Times New Roman" w:hAnsi="Times New Roman" w:eastAsia="仿宋" w:cstheme="minorBidi"/>
          <w:kern w:val="0"/>
          <w:sz w:val="32"/>
          <w:szCs w:val="32"/>
        </w:rPr>
        <w:t>法治化</w:t>
      </w:r>
      <w:r>
        <w:rPr>
          <w:rFonts w:ascii="Times New Roman" w:hAnsi="Times New Roman" w:eastAsia="仿宋" w:cstheme="minorBidi"/>
          <w:kern w:val="0"/>
          <w:sz w:val="32"/>
          <w:szCs w:val="32"/>
        </w:rPr>
        <w:t>、市场化和公开、公平、公正原则，切实维护挂牌公司和市场参与主体的合法权益。</w:t>
      </w:r>
    </w:p>
    <w:p>
      <w:pPr>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挂牌公司</w:t>
      </w:r>
      <w:r>
        <w:rPr>
          <w:rFonts w:hint="eastAsia" w:ascii="Times New Roman" w:hAnsi="Times New Roman" w:eastAsia="仿宋" w:cstheme="minorBidi"/>
          <w:kern w:val="0"/>
          <w:sz w:val="32"/>
          <w:szCs w:val="32"/>
        </w:rPr>
        <w:t>的分层管理</w:t>
      </w:r>
      <w:r>
        <w:rPr>
          <w:rFonts w:ascii="Times New Roman" w:hAnsi="Times New Roman" w:eastAsia="仿宋" w:cstheme="minorBidi"/>
          <w:kern w:val="0"/>
          <w:sz w:val="32"/>
          <w:szCs w:val="32"/>
        </w:rPr>
        <w:t>，不代表</w:t>
      </w:r>
      <w:r>
        <w:rPr>
          <w:rFonts w:hint="eastAsia" w:ascii="Times New Roman" w:hAnsi="Times New Roman" w:eastAsia="仿宋" w:cstheme="minorBidi"/>
          <w:kern w:val="0"/>
          <w:sz w:val="32"/>
          <w:szCs w:val="32"/>
        </w:rPr>
        <w:t>全国股转公司</w:t>
      </w:r>
      <w:r>
        <w:rPr>
          <w:rFonts w:ascii="Times New Roman" w:hAnsi="Times New Roman" w:eastAsia="仿宋" w:cstheme="minorBidi"/>
          <w:kern w:val="0"/>
          <w:sz w:val="32"/>
          <w:szCs w:val="32"/>
        </w:rPr>
        <w:t>对挂牌公司投资价值的判断。</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第四条</w:t>
      </w:r>
      <w:r>
        <w:rPr>
          <w:rFonts w:ascii="仿宋" w:hAnsi="仿宋" w:eastAsia="仿宋"/>
          <w:b/>
          <w:kern w:val="0"/>
          <w:sz w:val="32"/>
        </w:rPr>
        <w:t xml:space="preserve">  </w:t>
      </w:r>
      <w:r>
        <w:rPr>
          <w:rFonts w:hint="eastAsia" w:ascii="Times New Roman" w:hAnsi="Times New Roman" w:eastAsia="仿宋" w:cstheme="minorBidi"/>
          <w:kern w:val="0"/>
          <w:sz w:val="32"/>
          <w:szCs w:val="32"/>
        </w:rPr>
        <w:t>全国股转公司制定客观、差异化的创新层进层条件和降层调整情形。</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第五条</w:t>
      </w:r>
      <w:r>
        <w:rPr>
          <w:rFonts w:ascii="仿宋" w:hAnsi="仿宋" w:eastAsia="仿宋"/>
          <w:b/>
          <w:kern w:val="0"/>
          <w:sz w:val="32"/>
        </w:rPr>
        <w:t xml:space="preserve">  </w:t>
      </w:r>
      <w:r>
        <w:rPr>
          <w:rFonts w:hint="eastAsia" w:ascii="Times New Roman" w:hAnsi="Times New Roman" w:eastAsia="仿宋" w:cstheme="minorBidi"/>
          <w:kern w:val="0"/>
          <w:sz w:val="32"/>
          <w:szCs w:val="32"/>
        </w:rPr>
        <w:t>全国股转公司每年设置6次创新层进层实施安排。进层启动日分别为每年1月、2月、3月、4月、5月和8月的最后一个交易日。</w:t>
      </w:r>
    </w:p>
    <w:p>
      <w:pPr>
        <w:spacing w:line="600" w:lineRule="exact"/>
        <w:ind w:firstLine="640" w:firstLineChars="200"/>
        <w:rPr>
          <w:rFonts w:ascii="Times New Roman" w:hAnsi="Times New Roman" w:eastAsia="仿宋" w:cstheme="minorBidi"/>
          <w:kern w:val="0"/>
          <w:sz w:val="32"/>
          <w:szCs w:val="32"/>
        </w:rPr>
      </w:pPr>
      <w:r>
        <w:rPr>
          <w:rFonts w:hint="eastAsia" w:ascii="Times New Roman" w:hAnsi="Times New Roman" w:eastAsia="仿宋" w:cstheme="minorBidi"/>
          <w:kern w:val="0"/>
          <w:sz w:val="32"/>
          <w:szCs w:val="32"/>
        </w:rPr>
        <w:t>经中国证券监督管理委员会（以下简称中国证监会）批准，全国股转公司可以根据市场发展的需要，调整进层实施安排。</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第六条</w:t>
      </w:r>
      <w:r>
        <w:rPr>
          <w:rFonts w:ascii="仿宋" w:hAnsi="仿宋" w:eastAsia="仿宋"/>
          <w:b/>
          <w:kern w:val="0"/>
          <w:sz w:val="32"/>
        </w:rPr>
        <w:t xml:space="preserve">  </w:t>
      </w:r>
      <w:r>
        <w:rPr>
          <w:rFonts w:ascii="Times New Roman" w:hAnsi="Times New Roman" w:eastAsia="仿宋" w:cstheme="minorBidi"/>
          <w:kern w:val="0"/>
          <w:sz w:val="32"/>
          <w:szCs w:val="32"/>
        </w:rPr>
        <w:t>全国股转公司在各市场层级实行差异化的投资者适当性标准、股票交易方式、发行融资制度，以及不同的公司治理和信息披露</w:t>
      </w:r>
      <w:r>
        <w:rPr>
          <w:rFonts w:hint="eastAsia" w:ascii="Times New Roman" w:hAnsi="Times New Roman" w:eastAsia="仿宋" w:cstheme="minorBidi"/>
          <w:kern w:val="0"/>
          <w:sz w:val="32"/>
          <w:szCs w:val="32"/>
        </w:rPr>
        <w:t>等监督</w:t>
      </w:r>
      <w:r>
        <w:rPr>
          <w:rFonts w:ascii="Times New Roman" w:hAnsi="Times New Roman" w:eastAsia="仿宋" w:cstheme="minorBidi"/>
          <w:kern w:val="0"/>
          <w:sz w:val="32"/>
          <w:szCs w:val="32"/>
        </w:rPr>
        <w:t>管理</w:t>
      </w:r>
      <w:r>
        <w:rPr>
          <w:rFonts w:hint="eastAsia" w:ascii="Times New Roman" w:hAnsi="Times New Roman" w:eastAsia="仿宋" w:cstheme="minorBidi"/>
          <w:kern w:val="0"/>
          <w:sz w:val="32"/>
          <w:szCs w:val="32"/>
        </w:rPr>
        <w:t>要求</w:t>
      </w:r>
      <w:r>
        <w:rPr>
          <w:rFonts w:ascii="Times New Roman" w:hAnsi="Times New Roman" w:eastAsia="仿宋" w:cstheme="minorBidi"/>
          <w:kern w:val="0"/>
          <w:sz w:val="32"/>
          <w:szCs w:val="32"/>
        </w:rPr>
        <w:t>。</w:t>
      </w:r>
    </w:p>
    <w:p>
      <w:pPr>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全国股转公司针对各市场层级分别揭示证券交易行情、展示信息披露文件，为各市场层级挂牌公司提供差异化服务。</w:t>
      </w:r>
    </w:p>
    <w:p>
      <w:pPr>
        <w:spacing w:before="240" w:after="240" w:line="600" w:lineRule="exact"/>
        <w:jc w:val="center"/>
        <w:outlineLvl w:val="0"/>
        <w:rPr>
          <w:rFonts w:ascii="Times New Roman" w:hAnsi="Times New Roman" w:eastAsia="黑体" w:cstheme="minorBidi"/>
          <w:bCs/>
          <w:sz w:val="32"/>
          <w:szCs w:val="32"/>
        </w:rPr>
      </w:pPr>
      <w:r>
        <w:rPr>
          <w:rFonts w:ascii="Times New Roman" w:hAnsi="Times New Roman" w:eastAsia="黑体" w:cstheme="minorBidi"/>
          <w:bCs/>
          <w:sz w:val="32"/>
          <w:szCs w:val="32"/>
        </w:rPr>
        <w:t xml:space="preserve">第二章  </w:t>
      </w:r>
      <w:r>
        <w:rPr>
          <w:rFonts w:hint="eastAsia" w:ascii="Times New Roman" w:hAnsi="Times New Roman" w:eastAsia="黑体" w:cstheme="minorBidi"/>
          <w:bCs/>
          <w:sz w:val="32"/>
          <w:szCs w:val="32"/>
        </w:rPr>
        <w:t>创新层的</w:t>
      </w:r>
      <w:r>
        <w:rPr>
          <w:rFonts w:ascii="Times New Roman" w:hAnsi="Times New Roman" w:eastAsia="黑体" w:cstheme="minorBidi"/>
          <w:bCs/>
          <w:sz w:val="32"/>
          <w:szCs w:val="32"/>
        </w:rPr>
        <w:t>进</w:t>
      </w:r>
      <w:r>
        <w:rPr>
          <w:rFonts w:hint="eastAsia" w:ascii="Times New Roman" w:hAnsi="Times New Roman" w:eastAsia="黑体" w:cstheme="minorBidi"/>
          <w:bCs/>
          <w:sz w:val="32"/>
          <w:szCs w:val="32"/>
        </w:rPr>
        <w:t>层</w:t>
      </w:r>
      <w:r>
        <w:rPr>
          <w:rFonts w:ascii="Times New Roman" w:hAnsi="Times New Roman" w:eastAsia="黑体" w:cstheme="minorBidi"/>
          <w:bCs/>
          <w:sz w:val="32"/>
          <w:szCs w:val="32"/>
        </w:rPr>
        <w:t>条件和降层调整情形</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第七条</w:t>
      </w:r>
      <w:r>
        <w:rPr>
          <w:rFonts w:ascii="仿宋" w:hAnsi="仿宋" w:eastAsia="仿宋"/>
          <w:b/>
          <w:kern w:val="0"/>
          <w:sz w:val="32"/>
        </w:rPr>
        <w:t xml:space="preserve">  </w:t>
      </w:r>
      <w:r>
        <w:rPr>
          <w:rFonts w:ascii="Times New Roman" w:hAnsi="Times New Roman" w:eastAsia="仿宋" w:cstheme="minorBidi"/>
          <w:kern w:val="0"/>
          <w:sz w:val="32"/>
          <w:szCs w:val="32"/>
        </w:rPr>
        <w:t>挂牌公司进入创新层，应当符合下列条件之一：</w:t>
      </w:r>
    </w:p>
    <w:p>
      <w:pPr>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（一）最近两年净利润均不低于1000万元，最近两年加权平均净资产收益率平均不低于</w:t>
      </w:r>
      <w:r>
        <w:rPr>
          <w:rFonts w:hint="eastAsia" w:ascii="Times New Roman" w:hAnsi="Times New Roman" w:eastAsia="仿宋" w:cstheme="minorBidi"/>
          <w:kern w:val="0"/>
          <w:sz w:val="32"/>
          <w:szCs w:val="32"/>
        </w:rPr>
        <w:t>6</w:t>
      </w:r>
      <w:r>
        <w:rPr>
          <w:rFonts w:ascii="Times New Roman" w:hAnsi="Times New Roman" w:eastAsia="仿宋" w:cstheme="minorBidi"/>
          <w:kern w:val="0"/>
          <w:sz w:val="32"/>
          <w:szCs w:val="32"/>
        </w:rPr>
        <w:t>%，</w:t>
      </w:r>
      <w:r>
        <w:rPr>
          <w:rFonts w:hint="eastAsia" w:ascii="Times New Roman" w:hAnsi="Times New Roman" w:eastAsia="仿宋" w:cstheme="minorBidi"/>
          <w:kern w:val="0"/>
          <w:sz w:val="32"/>
          <w:szCs w:val="32"/>
        </w:rPr>
        <w:t>截至进层启动日的</w:t>
      </w:r>
      <w:r>
        <w:rPr>
          <w:rFonts w:ascii="Times New Roman" w:hAnsi="Times New Roman" w:eastAsia="仿宋" w:cstheme="minorBidi"/>
          <w:kern w:val="0"/>
          <w:sz w:val="32"/>
          <w:szCs w:val="32"/>
        </w:rPr>
        <w:t>股本总额不少于2000万元；</w:t>
      </w:r>
    </w:p>
    <w:p>
      <w:pPr>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（二）最近两年营业收入平均不低于8000万元，且持续增长，年均复合增长率不低于30%，</w:t>
      </w:r>
      <w:r>
        <w:rPr>
          <w:rFonts w:hint="eastAsia" w:ascii="Times New Roman" w:hAnsi="Times New Roman" w:eastAsia="仿宋" w:cstheme="minorBidi"/>
          <w:kern w:val="0"/>
          <w:sz w:val="32"/>
          <w:szCs w:val="32"/>
        </w:rPr>
        <w:t>截至进层启动日的</w:t>
      </w:r>
      <w:r>
        <w:rPr>
          <w:rFonts w:ascii="Times New Roman" w:hAnsi="Times New Roman" w:eastAsia="仿宋" w:cstheme="minorBidi"/>
          <w:kern w:val="0"/>
          <w:sz w:val="32"/>
          <w:szCs w:val="32"/>
        </w:rPr>
        <w:t>股本总额不少于2000万元；</w:t>
      </w:r>
    </w:p>
    <w:p>
      <w:pPr>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（三）</w:t>
      </w:r>
      <w:r>
        <w:rPr>
          <w:rFonts w:hint="eastAsia" w:ascii="Times New Roman" w:hAnsi="Times New Roman" w:eastAsia="仿宋" w:cstheme="minorBidi"/>
          <w:kern w:val="0"/>
          <w:sz w:val="32"/>
          <w:szCs w:val="32"/>
        </w:rPr>
        <w:t>最近</w:t>
      </w:r>
      <w:r>
        <w:rPr>
          <w:rFonts w:ascii="Times New Roman" w:hAnsi="Times New Roman" w:eastAsia="仿宋" w:cstheme="minorBidi"/>
          <w:kern w:val="0"/>
          <w:sz w:val="32"/>
          <w:szCs w:val="32"/>
        </w:rPr>
        <w:t>两</w:t>
      </w:r>
      <w:r>
        <w:rPr>
          <w:rFonts w:hint="eastAsia" w:ascii="Times New Roman" w:hAnsi="Times New Roman" w:eastAsia="仿宋" w:cstheme="minorBidi"/>
          <w:kern w:val="0"/>
          <w:sz w:val="32"/>
          <w:szCs w:val="32"/>
        </w:rPr>
        <w:t>年研发投入累计不低于2</w:t>
      </w:r>
      <w:r>
        <w:rPr>
          <w:rFonts w:ascii="Times New Roman" w:hAnsi="Times New Roman" w:eastAsia="仿宋" w:cstheme="minorBidi"/>
          <w:kern w:val="0"/>
          <w:sz w:val="32"/>
          <w:szCs w:val="32"/>
        </w:rPr>
        <w:t>5</w:t>
      </w:r>
      <w:r>
        <w:rPr>
          <w:rFonts w:hint="eastAsia" w:ascii="Times New Roman" w:hAnsi="Times New Roman" w:eastAsia="仿宋" w:cstheme="minorBidi"/>
          <w:kern w:val="0"/>
          <w:sz w:val="32"/>
          <w:szCs w:val="32"/>
        </w:rPr>
        <w:t>00万元，截至进层启动日的24个月内，定向发行</w:t>
      </w:r>
      <w:r>
        <w:rPr>
          <w:rFonts w:ascii="Times New Roman" w:hAnsi="Times New Roman" w:eastAsia="仿宋" w:cstheme="minorBidi"/>
          <w:kern w:val="0"/>
          <w:sz w:val="32"/>
          <w:szCs w:val="32"/>
        </w:rPr>
        <w:t>普通股</w:t>
      </w:r>
      <w:r>
        <w:rPr>
          <w:rFonts w:hint="eastAsia" w:ascii="Times New Roman" w:hAnsi="Times New Roman" w:eastAsia="仿宋" w:cstheme="minorBidi"/>
          <w:kern w:val="0"/>
          <w:sz w:val="32"/>
          <w:szCs w:val="32"/>
        </w:rPr>
        <w:t>融资金额累计不低于</w:t>
      </w:r>
      <w:r>
        <w:rPr>
          <w:rFonts w:ascii="Times New Roman" w:hAnsi="Times New Roman" w:eastAsia="仿宋" w:cstheme="minorBidi"/>
          <w:kern w:val="0"/>
          <w:sz w:val="32"/>
          <w:szCs w:val="32"/>
        </w:rPr>
        <w:t>4</w:t>
      </w:r>
      <w:r>
        <w:rPr>
          <w:rFonts w:hint="eastAsia" w:ascii="Times New Roman" w:hAnsi="Times New Roman" w:eastAsia="仿宋" w:cstheme="minorBidi"/>
          <w:kern w:val="0"/>
          <w:sz w:val="32"/>
          <w:szCs w:val="32"/>
        </w:rPr>
        <w:t>000万元（不含以非现金资产认购的部分），且每次发行完成后以该次发行价格计算的股票市值均不低于3亿元；</w:t>
      </w:r>
    </w:p>
    <w:p>
      <w:pPr>
        <w:spacing w:line="600" w:lineRule="exact"/>
        <w:ind w:firstLine="640" w:firstLineChars="200"/>
        <w:rPr>
          <w:rFonts w:ascii="Times New Roman" w:hAnsi="Times New Roman" w:eastAsia="仿宋" w:cstheme="minorBidi"/>
          <w:kern w:val="0"/>
          <w:sz w:val="32"/>
          <w:szCs w:val="32"/>
        </w:rPr>
      </w:pPr>
      <w:r>
        <w:rPr>
          <w:rFonts w:hint="eastAsia" w:ascii="Times New Roman" w:hAnsi="Times New Roman" w:eastAsia="仿宋" w:cstheme="minorBidi"/>
          <w:kern w:val="0"/>
          <w:sz w:val="32"/>
          <w:szCs w:val="32"/>
        </w:rPr>
        <w:t>（四）截至进层启动日的1</w:t>
      </w:r>
      <w:r>
        <w:rPr>
          <w:rFonts w:ascii="Times New Roman" w:hAnsi="Times New Roman" w:eastAsia="仿宋" w:cstheme="minorBidi"/>
          <w:kern w:val="0"/>
          <w:sz w:val="32"/>
          <w:szCs w:val="32"/>
        </w:rPr>
        <w:t>20</w:t>
      </w:r>
      <w:r>
        <w:rPr>
          <w:rFonts w:hint="eastAsia" w:ascii="Times New Roman" w:hAnsi="Times New Roman" w:eastAsia="仿宋" w:cstheme="minorBidi"/>
          <w:kern w:val="0"/>
          <w:sz w:val="32"/>
          <w:szCs w:val="32"/>
        </w:rPr>
        <w:t>个交易日内，最近有成交的6</w:t>
      </w:r>
      <w:r>
        <w:rPr>
          <w:rFonts w:ascii="Times New Roman" w:hAnsi="Times New Roman" w:eastAsia="仿宋" w:cstheme="minorBidi"/>
          <w:kern w:val="0"/>
          <w:sz w:val="32"/>
          <w:szCs w:val="32"/>
        </w:rPr>
        <w:t>0</w:t>
      </w:r>
      <w:r>
        <w:rPr>
          <w:rFonts w:hint="eastAsia" w:ascii="Times New Roman" w:hAnsi="Times New Roman" w:eastAsia="仿宋" w:cstheme="minorBidi"/>
          <w:kern w:val="0"/>
          <w:sz w:val="32"/>
          <w:szCs w:val="32"/>
        </w:rPr>
        <w:t>个交易日</w:t>
      </w:r>
      <w:r>
        <w:rPr>
          <w:rFonts w:ascii="Times New Roman" w:hAnsi="Times New Roman" w:eastAsia="仿宋" w:cstheme="minorBidi"/>
          <w:kern w:val="0"/>
          <w:sz w:val="32"/>
          <w:szCs w:val="32"/>
        </w:rPr>
        <w:t>的平均</w:t>
      </w:r>
      <w:r>
        <w:rPr>
          <w:rFonts w:hint="eastAsia" w:ascii="Times New Roman" w:hAnsi="Times New Roman" w:eastAsia="仿宋" w:cstheme="minorBidi"/>
          <w:kern w:val="0"/>
          <w:sz w:val="32"/>
          <w:szCs w:val="32"/>
        </w:rPr>
        <w:t>股票</w:t>
      </w:r>
      <w:r>
        <w:rPr>
          <w:rFonts w:ascii="Times New Roman" w:hAnsi="Times New Roman" w:eastAsia="仿宋" w:cstheme="minorBidi"/>
          <w:kern w:val="0"/>
          <w:sz w:val="32"/>
          <w:szCs w:val="32"/>
        </w:rPr>
        <w:t>市值不低于3亿元</w:t>
      </w:r>
      <w:r>
        <w:rPr>
          <w:rFonts w:hint="eastAsia" w:ascii="Times New Roman" w:hAnsi="Times New Roman" w:eastAsia="仿宋" w:cstheme="minorBidi"/>
          <w:kern w:val="0"/>
          <w:sz w:val="32"/>
          <w:szCs w:val="32"/>
        </w:rPr>
        <w:t>；</w:t>
      </w:r>
      <w:r>
        <w:rPr>
          <w:rFonts w:ascii="Times New Roman" w:hAnsi="Times New Roman" w:eastAsia="仿宋" w:cstheme="minorBidi"/>
          <w:kern w:val="0"/>
          <w:sz w:val="32"/>
          <w:szCs w:val="32"/>
        </w:rPr>
        <w:t>采取做市交易方式的</w:t>
      </w:r>
      <w:r>
        <w:rPr>
          <w:rFonts w:hint="eastAsia" w:ascii="Times New Roman" w:hAnsi="Times New Roman" w:eastAsia="仿宋" w:cstheme="minorBidi"/>
          <w:kern w:val="0"/>
          <w:sz w:val="32"/>
          <w:szCs w:val="32"/>
        </w:rPr>
        <w:t>，截至进层启动日</w:t>
      </w:r>
      <w:r>
        <w:rPr>
          <w:rFonts w:ascii="Times New Roman" w:hAnsi="Times New Roman" w:eastAsia="仿宋" w:cstheme="minorBidi"/>
          <w:kern w:val="0"/>
          <w:sz w:val="32"/>
          <w:szCs w:val="32"/>
        </w:rPr>
        <w:t>做市商家数不少于</w:t>
      </w:r>
      <w:r>
        <w:rPr>
          <w:rFonts w:hint="eastAsia" w:ascii="Times New Roman" w:hAnsi="Times New Roman" w:eastAsia="仿宋" w:cstheme="minorBidi"/>
          <w:kern w:val="0"/>
          <w:sz w:val="32"/>
          <w:szCs w:val="32"/>
        </w:rPr>
        <w:t>4</w:t>
      </w:r>
      <w:r>
        <w:rPr>
          <w:rFonts w:ascii="Times New Roman" w:hAnsi="Times New Roman" w:eastAsia="仿宋" w:cstheme="minorBidi"/>
          <w:kern w:val="0"/>
          <w:sz w:val="32"/>
          <w:szCs w:val="32"/>
        </w:rPr>
        <w:t>家</w:t>
      </w:r>
      <w:r>
        <w:rPr>
          <w:rFonts w:hint="eastAsia" w:ascii="Times New Roman" w:hAnsi="Times New Roman" w:eastAsia="仿宋" w:cstheme="minorBidi"/>
          <w:kern w:val="0"/>
          <w:sz w:val="32"/>
          <w:szCs w:val="32"/>
        </w:rPr>
        <w:t>；</w:t>
      </w:r>
      <w:r>
        <w:rPr>
          <w:rFonts w:ascii="Times New Roman" w:hAnsi="Times New Roman" w:eastAsia="仿宋" w:cstheme="minorBidi"/>
          <w:kern w:val="0"/>
          <w:sz w:val="32"/>
          <w:szCs w:val="32"/>
        </w:rPr>
        <w:t>采取集合竞价交易方式的</w:t>
      </w:r>
      <w:r>
        <w:rPr>
          <w:rFonts w:hint="eastAsia" w:ascii="Times New Roman" w:hAnsi="Times New Roman" w:eastAsia="仿宋" w:cstheme="minorBidi"/>
          <w:kern w:val="0"/>
          <w:sz w:val="32"/>
          <w:szCs w:val="32"/>
        </w:rPr>
        <w:t>，前述</w:t>
      </w:r>
      <w:r>
        <w:rPr>
          <w:rFonts w:ascii="Times New Roman" w:hAnsi="Times New Roman" w:eastAsia="仿宋" w:cstheme="minorBidi"/>
          <w:kern w:val="0"/>
          <w:sz w:val="32"/>
          <w:szCs w:val="32"/>
        </w:rPr>
        <w:t>60个交易日</w:t>
      </w:r>
      <w:r>
        <w:rPr>
          <w:rFonts w:hint="eastAsia" w:ascii="Times New Roman" w:hAnsi="Times New Roman" w:eastAsia="仿宋" w:cstheme="minorBidi"/>
          <w:kern w:val="0"/>
          <w:sz w:val="32"/>
          <w:szCs w:val="32"/>
        </w:rPr>
        <w:t>通过集合竞价交易方式实现的股票累计成交量不低于100万股；截至进层启动日的</w:t>
      </w:r>
      <w:r>
        <w:rPr>
          <w:rFonts w:ascii="Times New Roman" w:hAnsi="Times New Roman" w:eastAsia="仿宋" w:cstheme="minorBidi"/>
          <w:kern w:val="0"/>
          <w:sz w:val="32"/>
          <w:szCs w:val="32"/>
        </w:rPr>
        <w:t>股本总额不少于5000万元</w:t>
      </w:r>
      <w:r>
        <w:rPr>
          <w:rFonts w:hint="eastAsia" w:ascii="Times New Roman" w:hAnsi="Times New Roman" w:eastAsia="仿宋" w:cstheme="minorBidi"/>
          <w:kern w:val="0"/>
          <w:sz w:val="32"/>
          <w:szCs w:val="32"/>
        </w:rPr>
        <w:t>。</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第八条</w:t>
      </w:r>
      <w:r>
        <w:rPr>
          <w:rFonts w:ascii="仿宋" w:hAnsi="仿宋" w:eastAsia="仿宋"/>
          <w:b/>
          <w:kern w:val="0"/>
          <w:sz w:val="32"/>
        </w:rPr>
        <w:t xml:space="preserve">  </w:t>
      </w:r>
      <w:r>
        <w:rPr>
          <w:rFonts w:ascii="Times New Roman" w:hAnsi="Times New Roman" w:eastAsia="仿宋" w:cstheme="minorBidi"/>
          <w:kern w:val="0"/>
          <w:sz w:val="32"/>
          <w:szCs w:val="32"/>
        </w:rPr>
        <w:t>挂牌公司进入创新层，同时还应当符合下列条件：</w:t>
      </w:r>
    </w:p>
    <w:p>
      <w:pPr>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（一）</w:t>
      </w:r>
      <w:r>
        <w:rPr>
          <w:rFonts w:hint="eastAsia" w:ascii="Times New Roman" w:hAnsi="Times New Roman" w:eastAsia="仿宋" w:cstheme="minorBidi"/>
          <w:kern w:val="0"/>
          <w:sz w:val="32"/>
          <w:szCs w:val="32"/>
        </w:rPr>
        <w:t>挂牌同时或挂牌后已完成定向发行</w:t>
      </w:r>
      <w:r>
        <w:rPr>
          <w:rFonts w:ascii="Times New Roman" w:hAnsi="Times New Roman" w:eastAsia="仿宋" w:cstheme="minorBidi"/>
          <w:kern w:val="0"/>
          <w:sz w:val="32"/>
          <w:szCs w:val="32"/>
        </w:rPr>
        <w:t>普通股</w:t>
      </w:r>
      <w:r>
        <w:rPr>
          <w:rFonts w:hint="eastAsia" w:ascii="Times New Roman" w:hAnsi="Times New Roman" w:eastAsia="仿宋" w:cstheme="minorBidi"/>
          <w:kern w:val="0"/>
          <w:sz w:val="32"/>
          <w:szCs w:val="32"/>
        </w:rPr>
        <w:t>、优先股或可转换公司债券（以下简称可转债），且截至进层启动日完成的发行融资金额累计不低于</w:t>
      </w:r>
      <w:r>
        <w:rPr>
          <w:rFonts w:ascii="Times New Roman" w:hAnsi="Times New Roman" w:eastAsia="仿宋" w:cstheme="minorBidi"/>
          <w:kern w:val="0"/>
          <w:sz w:val="32"/>
          <w:szCs w:val="32"/>
        </w:rPr>
        <w:t>1000</w:t>
      </w:r>
      <w:r>
        <w:rPr>
          <w:rFonts w:hint="eastAsia" w:ascii="Times New Roman" w:hAnsi="Times New Roman" w:eastAsia="仿宋" w:cstheme="minorBidi"/>
          <w:kern w:val="0"/>
          <w:sz w:val="32"/>
          <w:szCs w:val="32"/>
        </w:rPr>
        <w:t>万元（不含以非现金资产认购的部分）；</w:t>
      </w:r>
    </w:p>
    <w:p>
      <w:pPr>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w:t>
      </w:r>
      <w:r>
        <w:rPr>
          <w:rFonts w:hint="eastAsia" w:ascii="Times New Roman" w:hAnsi="Times New Roman" w:eastAsia="仿宋" w:cstheme="minorBidi"/>
          <w:kern w:val="0"/>
          <w:sz w:val="32"/>
          <w:szCs w:val="32"/>
        </w:rPr>
        <w:t>二</w:t>
      </w:r>
      <w:r>
        <w:rPr>
          <w:rFonts w:ascii="Times New Roman" w:hAnsi="Times New Roman" w:eastAsia="仿宋" w:cstheme="minorBidi"/>
          <w:kern w:val="0"/>
          <w:sz w:val="32"/>
          <w:szCs w:val="32"/>
        </w:rPr>
        <w:t>）最近一年期末净资产不为负值；</w:t>
      </w:r>
    </w:p>
    <w:p>
      <w:pPr>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w:t>
      </w:r>
      <w:r>
        <w:rPr>
          <w:rFonts w:hint="eastAsia" w:ascii="Times New Roman" w:hAnsi="Times New Roman" w:eastAsia="仿宋" w:cstheme="minorBidi"/>
          <w:kern w:val="0"/>
          <w:sz w:val="32"/>
          <w:szCs w:val="32"/>
        </w:rPr>
        <w:t>三</w:t>
      </w:r>
      <w:r>
        <w:rPr>
          <w:rFonts w:ascii="Times New Roman" w:hAnsi="Times New Roman" w:eastAsia="仿宋" w:cstheme="minorBidi"/>
          <w:kern w:val="0"/>
          <w:sz w:val="32"/>
          <w:szCs w:val="32"/>
        </w:rPr>
        <w:t>）公司治理健全，</w:t>
      </w:r>
      <w:r>
        <w:rPr>
          <w:rFonts w:hint="eastAsia" w:ascii="Times New Roman" w:hAnsi="Times New Roman" w:eastAsia="仿宋" w:cstheme="minorBidi"/>
          <w:kern w:val="0"/>
          <w:sz w:val="32"/>
          <w:szCs w:val="32"/>
        </w:rPr>
        <w:t>截至进层启动日，已制定</w:t>
      </w:r>
      <w:r>
        <w:rPr>
          <w:rFonts w:ascii="Times New Roman" w:hAnsi="Times New Roman" w:eastAsia="仿宋" w:cstheme="minorBidi"/>
          <w:kern w:val="0"/>
          <w:sz w:val="32"/>
          <w:szCs w:val="32"/>
        </w:rPr>
        <w:t>并披露经董事会审议通过的股东大会、董事会和监事会制度、对外投资管理制度、对外担保管理制度、关联交易管理制度、投资者关系管理制度、利润分配管理制度和承诺管理制度</w:t>
      </w:r>
      <w:r>
        <w:rPr>
          <w:rFonts w:hint="eastAsia" w:ascii="Times New Roman" w:hAnsi="Times New Roman" w:eastAsia="仿宋" w:cstheme="minorBidi"/>
          <w:kern w:val="0"/>
          <w:sz w:val="32"/>
          <w:szCs w:val="32"/>
        </w:rPr>
        <w:t>，已设董事会秘书作为信息披露事务负责人并公开披露</w:t>
      </w:r>
      <w:r>
        <w:rPr>
          <w:rFonts w:ascii="Times New Roman" w:hAnsi="Times New Roman" w:eastAsia="仿宋" w:cstheme="minorBidi"/>
          <w:kern w:val="0"/>
          <w:sz w:val="32"/>
          <w:szCs w:val="32"/>
        </w:rPr>
        <w:t>；</w:t>
      </w:r>
    </w:p>
    <w:p>
      <w:pPr>
        <w:tabs>
          <w:tab w:val="left" w:pos="7176"/>
        </w:tabs>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w:t>
      </w:r>
      <w:r>
        <w:rPr>
          <w:rFonts w:hint="eastAsia" w:ascii="Times New Roman" w:hAnsi="Times New Roman" w:eastAsia="仿宋" w:cstheme="minorBidi"/>
          <w:kern w:val="0"/>
          <w:sz w:val="32"/>
          <w:szCs w:val="32"/>
        </w:rPr>
        <w:t>四</w:t>
      </w:r>
      <w:r>
        <w:rPr>
          <w:rFonts w:ascii="Times New Roman" w:hAnsi="Times New Roman" w:eastAsia="仿宋" w:cstheme="minorBidi"/>
          <w:kern w:val="0"/>
          <w:sz w:val="32"/>
          <w:szCs w:val="32"/>
        </w:rPr>
        <w:t>）中国证监会和全国股转公司规定的其他条件。</w:t>
      </w:r>
    </w:p>
    <w:p>
      <w:pPr>
        <w:spacing w:line="600" w:lineRule="exact"/>
        <w:ind w:firstLine="640" w:firstLineChars="200"/>
        <w:rPr>
          <w:rFonts w:ascii="Times New Roman" w:hAnsi="Times New Roman" w:eastAsia="仿宋" w:cstheme="minorBidi"/>
          <w:kern w:val="0"/>
          <w:sz w:val="32"/>
          <w:szCs w:val="32"/>
        </w:rPr>
      </w:pPr>
      <w:r>
        <w:rPr>
          <w:rFonts w:hint="eastAsia" w:ascii="Times New Roman" w:hAnsi="Times New Roman" w:eastAsia="仿宋" w:cstheme="minorBidi"/>
          <w:kern w:val="0"/>
          <w:sz w:val="32"/>
          <w:szCs w:val="32"/>
        </w:rPr>
        <w:t>挂牌公司</w:t>
      </w:r>
      <w:r>
        <w:rPr>
          <w:rFonts w:ascii="Times New Roman" w:hAnsi="Times New Roman" w:eastAsia="仿宋" w:cstheme="minorBidi"/>
          <w:kern w:val="0"/>
          <w:sz w:val="32"/>
          <w:szCs w:val="32"/>
        </w:rPr>
        <w:t>完成发行融资的时间</w:t>
      </w:r>
      <w:r>
        <w:rPr>
          <w:rFonts w:hint="eastAsia" w:ascii="Times New Roman" w:hAnsi="Times New Roman" w:eastAsia="仿宋" w:cstheme="minorBidi"/>
          <w:kern w:val="0"/>
          <w:sz w:val="32"/>
          <w:szCs w:val="32"/>
        </w:rPr>
        <w:t>，</w:t>
      </w:r>
      <w:r>
        <w:rPr>
          <w:rFonts w:ascii="Times New Roman" w:hAnsi="Times New Roman" w:eastAsia="仿宋" w:cstheme="minorBidi"/>
          <w:kern w:val="0"/>
          <w:sz w:val="32"/>
          <w:szCs w:val="32"/>
        </w:rPr>
        <w:t>以</w:t>
      </w:r>
      <w:r>
        <w:rPr>
          <w:rFonts w:hint="eastAsia" w:ascii="Times New Roman" w:hAnsi="Times New Roman" w:eastAsia="仿宋" w:cstheme="minorBidi"/>
          <w:kern w:val="0"/>
          <w:sz w:val="32"/>
          <w:szCs w:val="32"/>
        </w:rPr>
        <w:t>定向发行</w:t>
      </w:r>
      <w:r>
        <w:rPr>
          <w:rFonts w:ascii="Times New Roman" w:hAnsi="Times New Roman" w:eastAsia="仿宋" w:cstheme="minorBidi"/>
          <w:kern w:val="0"/>
          <w:sz w:val="32"/>
          <w:szCs w:val="32"/>
        </w:rPr>
        <w:t>普通股</w:t>
      </w:r>
      <w:r>
        <w:rPr>
          <w:rFonts w:hint="eastAsia" w:ascii="Times New Roman" w:hAnsi="Times New Roman" w:eastAsia="仿宋" w:cstheme="minorBidi"/>
          <w:kern w:val="0"/>
          <w:sz w:val="32"/>
          <w:szCs w:val="32"/>
        </w:rPr>
        <w:t>、优先股或可转债的挂牌交易日或挂牌转让日</w:t>
      </w:r>
      <w:r>
        <w:rPr>
          <w:rFonts w:ascii="Times New Roman" w:hAnsi="Times New Roman" w:eastAsia="仿宋" w:cstheme="minorBidi"/>
          <w:kern w:val="0"/>
          <w:sz w:val="32"/>
          <w:szCs w:val="32"/>
        </w:rPr>
        <w:t>为准</w:t>
      </w:r>
      <w:r>
        <w:rPr>
          <w:rFonts w:hint="eastAsia" w:ascii="Times New Roman" w:hAnsi="Times New Roman" w:eastAsia="仿宋" w:cstheme="minorBidi"/>
          <w:kern w:val="0"/>
          <w:sz w:val="32"/>
          <w:szCs w:val="32"/>
        </w:rPr>
        <w:t>。</w:t>
      </w:r>
    </w:p>
    <w:p>
      <w:pPr>
        <w:spacing w:line="600" w:lineRule="exact"/>
        <w:ind w:firstLine="640" w:firstLineChars="200"/>
        <w:rPr>
          <w:rFonts w:ascii="Times New Roman" w:hAnsi="Times New Roman" w:eastAsia="仿宋" w:cstheme="minorBidi"/>
          <w:bCs/>
          <w:kern w:val="0"/>
          <w:sz w:val="32"/>
          <w:szCs w:val="32"/>
        </w:rPr>
      </w:pPr>
      <w:r>
        <w:rPr>
          <w:rFonts w:ascii="黑体" w:hAnsi="黑体" w:eastAsia="黑体" w:cstheme="minorBidi"/>
          <w:bCs/>
          <w:kern w:val="0"/>
          <w:sz w:val="32"/>
          <w:szCs w:val="32"/>
        </w:rPr>
        <w:t>第九条</w:t>
      </w:r>
      <w:r>
        <w:rPr>
          <w:rFonts w:ascii="仿宋" w:hAnsi="仿宋" w:eastAsia="仿宋"/>
          <w:b/>
          <w:kern w:val="0"/>
          <w:sz w:val="32"/>
        </w:rPr>
        <w:t xml:space="preserve">  </w:t>
      </w:r>
      <w:r>
        <w:rPr>
          <w:rFonts w:hint="eastAsia" w:ascii="Times New Roman" w:hAnsi="Times New Roman" w:eastAsia="仿宋" w:cstheme="minorBidi"/>
          <w:bCs/>
          <w:kern w:val="0"/>
          <w:sz w:val="32"/>
          <w:szCs w:val="32"/>
        </w:rPr>
        <w:t>以每年8月</w:t>
      </w:r>
      <w:r>
        <w:rPr>
          <w:rFonts w:ascii="Times New Roman" w:hAnsi="Times New Roman" w:eastAsia="仿宋" w:cstheme="minorBidi"/>
          <w:bCs/>
          <w:kern w:val="0"/>
          <w:sz w:val="32"/>
          <w:szCs w:val="32"/>
        </w:rPr>
        <w:t>的最后一个交易日</w:t>
      </w:r>
      <w:r>
        <w:rPr>
          <w:rFonts w:hint="eastAsia" w:ascii="Times New Roman" w:hAnsi="Times New Roman" w:eastAsia="仿宋" w:cstheme="minorBidi"/>
          <w:bCs/>
          <w:kern w:val="0"/>
          <w:sz w:val="32"/>
          <w:szCs w:val="32"/>
        </w:rPr>
        <w:t>为</w:t>
      </w:r>
      <w:r>
        <w:rPr>
          <w:rFonts w:ascii="Times New Roman" w:hAnsi="Times New Roman" w:eastAsia="仿宋" w:cstheme="minorBidi"/>
          <w:bCs/>
          <w:kern w:val="0"/>
          <w:sz w:val="32"/>
          <w:szCs w:val="32"/>
        </w:rPr>
        <w:t>进</w:t>
      </w:r>
      <w:r>
        <w:rPr>
          <w:rFonts w:hint="eastAsia" w:ascii="Times New Roman" w:hAnsi="Times New Roman" w:eastAsia="仿宋" w:cstheme="minorBidi"/>
          <w:bCs/>
          <w:kern w:val="0"/>
          <w:sz w:val="32"/>
          <w:szCs w:val="32"/>
        </w:rPr>
        <w:t>层启动日的挂牌公司，还应当同时符合以下条件：</w:t>
      </w:r>
    </w:p>
    <w:p>
      <w:pPr>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bCs/>
          <w:kern w:val="0"/>
          <w:sz w:val="32"/>
          <w:szCs w:val="32"/>
        </w:rPr>
        <w:t>（一）当年所披露中期报告的财务会计报告应当经符合《证券法》规定的会计师事务所审计，</w:t>
      </w:r>
      <w:r>
        <w:rPr>
          <w:rFonts w:ascii="Times New Roman" w:hAnsi="Times New Roman" w:eastAsia="仿宋" w:cstheme="minorBidi"/>
          <w:bCs/>
          <w:kern w:val="0"/>
          <w:sz w:val="32"/>
          <w:szCs w:val="32"/>
        </w:rPr>
        <w:t>审计意见</w:t>
      </w:r>
      <w:r>
        <w:rPr>
          <w:rFonts w:hint="eastAsia" w:ascii="Times New Roman" w:hAnsi="Times New Roman" w:eastAsia="仿宋" w:cstheme="minorBidi"/>
          <w:bCs/>
          <w:kern w:val="0"/>
          <w:sz w:val="32"/>
          <w:szCs w:val="32"/>
        </w:rPr>
        <w:t>应当为标准无保留意见；</w:t>
      </w:r>
    </w:p>
    <w:p>
      <w:pPr>
        <w:spacing w:line="600" w:lineRule="exact"/>
        <w:ind w:firstLine="640" w:firstLineChars="200"/>
        <w:rPr>
          <w:rFonts w:ascii="黑体" w:hAnsi="黑体" w:eastAsia="黑体" w:cstheme="minorBidi"/>
          <w:bCs/>
          <w:kern w:val="0"/>
          <w:sz w:val="32"/>
          <w:szCs w:val="32"/>
        </w:rPr>
      </w:pPr>
      <w:r>
        <w:rPr>
          <w:rFonts w:hint="eastAsia" w:ascii="Times New Roman" w:hAnsi="Times New Roman" w:eastAsia="仿宋" w:cstheme="minorBidi"/>
          <w:bCs/>
          <w:kern w:val="0"/>
          <w:sz w:val="32"/>
          <w:szCs w:val="32"/>
        </w:rPr>
        <w:t>（二）中期报告载明的营业收入</w:t>
      </w:r>
      <w:r>
        <w:rPr>
          <w:rFonts w:ascii="Times New Roman" w:hAnsi="Times New Roman" w:eastAsia="仿宋" w:cstheme="minorBidi"/>
          <w:bCs/>
          <w:kern w:val="0"/>
          <w:sz w:val="32"/>
          <w:szCs w:val="32"/>
        </w:rPr>
        <w:t>和净</w:t>
      </w:r>
      <w:r>
        <w:rPr>
          <w:rFonts w:hint="eastAsia" w:ascii="Times New Roman" w:hAnsi="Times New Roman" w:eastAsia="仿宋" w:cstheme="minorBidi"/>
          <w:bCs/>
          <w:kern w:val="0"/>
          <w:sz w:val="32"/>
          <w:szCs w:val="32"/>
        </w:rPr>
        <w:t>利润均不低于上年同期水平。</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黑体" w:hAnsi="黑体" w:eastAsia="黑体" w:cstheme="minorBidi"/>
          <w:bCs/>
          <w:kern w:val="0"/>
          <w:sz w:val="32"/>
          <w:szCs w:val="32"/>
        </w:rPr>
        <w:t>第十条</w:t>
      </w:r>
      <w:r>
        <w:rPr>
          <w:rFonts w:ascii="仿宋" w:hAnsi="仿宋" w:eastAsia="仿宋"/>
          <w:b/>
          <w:kern w:val="0"/>
          <w:sz w:val="32"/>
        </w:rPr>
        <w:t xml:space="preserve">  </w:t>
      </w:r>
      <w:r>
        <w:rPr>
          <w:rFonts w:ascii="Times New Roman" w:hAnsi="Times New Roman" w:eastAsia="仿宋" w:cstheme="minorBidi"/>
          <w:bCs/>
          <w:kern w:val="0"/>
          <w:sz w:val="32"/>
          <w:szCs w:val="32"/>
        </w:rPr>
        <w:t>挂牌公司或其他相关主体</w:t>
      </w:r>
      <w:r>
        <w:rPr>
          <w:rFonts w:hint="eastAsia" w:ascii="Times New Roman" w:hAnsi="Times New Roman" w:eastAsia="仿宋" w:cstheme="minorBidi"/>
          <w:bCs/>
          <w:kern w:val="0"/>
          <w:sz w:val="32"/>
          <w:szCs w:val="32"/>
        </w:rPr>
        <w:t>在截至进层启动日的</w:t>
      </w:r>
      <w:r>
        <w:rPr>
          <w:rFonts w:ascii="Times New Roman" w:hAnsi="Times New Roman" w:eastAsia="仿宋" w:cstheme="minorBidi"/>
          <w:kern w:val="0"/>
          <w:sz w:val="32"/>
          <w:szCs w:val="32"/>
        </w:rPr>
        <w:t>12</w:t>
      </w:r>
      <w:r>
        <w:rPr>
          <w:rFonts w:ascii="Times New Roman" w:hAnsi="Times New Roman" w:eastAsia="仿宋" w:cstheme="minorBidi"/>
          <w:bCs/>
          <w:kern w:val="0"/>
          <w:sz w:val="32"/>
          <w:szCs w:val="32"/>
        </w:rPr>
        <w:t>个月内或进层</w:t>
      </w:r>
      <w:r>
        <w:rPr>
          <w:rFonts w:hint="eastAsia" w:ascii="Times New Roman" w:hAnsi="Times New Roman" w:eastAsia="仿宋" w:cstheme="minorBidi"/>
          <w:bCs/>
          <w:kern w:val="0"/>
          <w:sz w:val="32"/>
          <w:szCs w:val="32"/>
        </w:rPr>
        <w:t>实施</w:t>
      </w:r>
      <w:r>
        <w:rPr>
          <w:rFonts w:ascii="Times New Roman" w:hAnsi="Times New Roman" w:eastAsia="仿宋" w:cstheme="minorBidi"/>
          <w:bCs/>
          <w:kern w:val="0"/>
          <w:sz w:val="32"/>
          <w:szCs w:val="32"/>
        </w:rPr>
        <w:t>期间出现下列情形之一的，挂牌公司不得进入创新层：</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Times New Roman" w:hAnsi="Times New Roman" w:eastAsia="仿宋" w:cstheme="minorBidi"/>
          <w:bCs/>
          <w:kern w:val="0"/>
          <w:sz w:val="32"/>
          <w:szCs w:val="32"/>
        </w:rPr>
        <w:t>（一）挂牌公司或其控股股东、实际控制人因贪污、贿赂、侵占财产、挪用财产或者破坏社会主义市场经济秩序的行为被</w:t>
      </w:r>
      <w:r>
        <w:rPr>
          <w:rFonts w:hint="eastAsia" w:ascii="Times New Roman" w:hAnsi="Times New Roman" w:eastAsia="仿宋" w:cstheme="minorBidi"/>
          <w:bCs/>
          <w:kern w:val="0"/>
          <w:sz w:val="32"/>
          <w:szCs w:val="32"/>
        </w:rPr>
        <w:t>司法机关</w:t>
      </w:r>
      <w:r>
        <w:rPr>
          <w:rFonts w:ascii="Times New Roman" w:hAnsi="Times New Roman" w:eastAsia="仿宋" w:cstheme="minorBidi"/>
          <w:bCs/>
          <w:kern w:val="0"/>
          <w:sz w:val="32"/>
          <w:szCs w:val="32"/>
        </w:rPr>
        <w:t>作出</w:t>
      </w:r>
      <w:r>
        <w:rPr>
          <w:rFonts w:hint="eastAsia" w:ascii="Times New Roman" w:hAnsi="Times New Roman" w:eastAsia="仿宋" w:cstheme="minorBidi"/>
          <w:bCs/>
          <w:kern w:val="0"/>
          <w:sz w:val="32"/>
          <w:szCs w:val="32"/>
        </w:rPr>
        <w:t>有罪判决，或刑事处罚未执行完毕</w:t>
      </w:r>
      <w:r>
        <w:rPr>
          <w:rFonts w:ascii="Times New Roman" w:hAnsi="Times New Roman" w:eastAsia="仿宋" w:cstheme="minorBidi"/>
          <w:bCs/>
          <w:kern w:val="0"/>
          <w:sz w:val="32"/>
          <w:szCs w:val="32"/>
        </w:rPr>
        <w:t>；</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bCs/>
          <w:kern w:val="0"/>
          <w:sz w:val="32"/>
          <w:szCs w:val="32"/>
        </w:rPr>
        <w:t>（二）挂牌公司或其控股股东、实际控制人因</w:t>
      </w:r>
      <w:r>
        <w:rPr>
          <w:rFonts w:ascii="Times New Roman" w:hAnsi="Times New Roman" w:eastAsia="仿宋" w:cstheme="minorBidi"/>
          <w:bCs/>
          <w:kern w:val="0"/>
          <w:sz w:val="32"/>
          <w:szCs w:val="32"/>
        </w:rPr>
        <w:t>欺诈发行、重大信息披露违法或者其他涉及国家安全、公共安全、生态安全、生产安全、公众健康安全等领域的重大违法行为</w:t>
      </w:r>
      <w:r>
        <w:rPr>
          <w:rFonts w:hint="eastAsia" w:ascii="Times New Roman" w:hAnsi="Times New Roman" w:eastAsia="仿宋" w:cstheme="minorBidi"/>
          <w:bCs/>
          <w:kern w:val="0"/>
          <w:sz w:val="32"/>
          <w:szCs w:val="32"/>
        </w:rPr>
        <w:t>被处以罚款等处罚且情节严重，或者导致严重环境污染、重大人员伤亡、社会影响恶劣等</w:t>
      </w:r>
      <w:r>
        <w:rPr>
          <w:rFonts w:ascii="Times New Roman" w:hAnsi="Times New Roman" w:eastAsia="仿宋" w:cstheme="minorBidi"/>
          <w:bCs/>
          <w:kern w:val="0"/>
          <w:sz w:val="32"/>
          <w:szCs w:val="32"/>
        </w:rPr>
        <w:t>情形；</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Times New Roman" w:hAnsi="Times New Roman" w:eastAsia="仿宋" w:cstheme="minorBidi"/>
          <w:bCs/>
          <w:kern w:val="0"/>
          <w:sz w:val="32"/>
          <w:szCs w:val="32"/>
        </w:rPr>
        <w:t>（三）挂牌公司或其控股股东、实际控制人、董事、监事、高级管理人员被中国证监会及其派出机构采取行政处罚；或因证券市场违法违规行为受到全国股转公司等自律监管机构公开谴责；</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Times New Roman" w:hAnsi="Times New Roman" w:eastAsia="仿宋" w:cstheme="minorBidi"/>
          <w:bCs/>
          <w:kern w:val="0"/>
          <w:sz w:val="32"/>
          <w:szCs w:val="32"/>
        </w:rPr>
        <w:t>（四）挂牌公司或其控股股东、实际控制人、董事、监事、高级管理人员因涉嫌犯罪正被司法机关立案侦查或涉嫌违法违规正被中国证监会及其派出机构立案调查，尚未有明确结论意见；</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Times New Roman" w:hAnsi="Times New Roman" w:eastAsia="仿宋" w:cstheme="minorBidi"/>
          <w:bCs/>
          <w:kern w:val="0"/>
          <w:sz w:val="32"/>
          <w:szCs w:val="32"/>
        </w:rPr>
        <w:t>（五）挂牌公司或其控股股东、实际控制人被列入失信被执行人名单且情形尚未消除；</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Times New Roman" w:hAnsi="Times New Roman" w:eastAsia="仿宋" w:cstheme="minorBidi"/>
          <w:bCs/>
          <w:kern w:val="0"/>
          <w:sz w:val="32"/>
          <w:szCs w:val="32"/>
        </w:rPr>
        <w:t>（六）</w:t>
      </w:r>
      <w:r>
        <w:rPr>
          <w:rFonts w:hint="eastAsia" w:ascii="Times New Roman" w:hAnsi="Times New Roman" w:eastAsia="仿宋"/>
          <w:kern w:val="0"/>
          <w:sz w:val="32"/>
          <w:szCs w:val="32"/>
        </w:rPr>
        <w:t>未按照全国股转公司规定在每个会计年度结束之日起4个月内编制并披露年度报告，或者未在每个会计年度的上半年结束之日起2个月内编制并披露中期报告，</w:t>
      </w:r>
      <w:r>
        <w:rPr>
          <w:rFonts w:ascii="Times New Roman" w:hAnsi="Times New Roman" w:eastAsia="仿宋"/>
          <w:kern w:val="0"/>
          <w:sz w:val="32"/>
          <w:szCs w:val="32"/>
        </w:rPr>
        <w:t>因</w:t>
      </w:r>
      <w:r>
        <w:rPr>
          <w:rFonts w:hint="eastAsia" w:ascii="Times New Roman" w:hAnsi="Times New Roman" w:eastAsia="仿宋"/>
          <w:kern w:val="0"/>
          <w:sz w:val="32"/>
          <w:szCs w:val="32"/>
        </w:rPr>
        <w:t>不可抗力等特殊</w:t>
      </w:r>
      <w:r>
        <w:rPr>
          <w:rFonts w:ascii="Times New Roman" w:hAnsi="Times New Roman" w:eastAsia="仿宋"/>
          <w:kern w:val="0"/>
          <w:sz w:val="32"/>
          <w:szCs w:val="32"/>
        </w:rPr>
        <w:t>原因</w:t>
      </w:r>
      <w:r>
        <w:rPr>
          <w:rFonts w:hint="eastAsia" w:ascii="Times New Roman" w:hAnsi="Times New Roman" w:eastAsia="仿宋"/>
          <w:kern w:val="0"/>
          <w:sz w:val="32"/>
          <w:szCs w:val="32"/>
        </w:rPr>
        <w:t>导致</w:t>
      </w:r>
      <w:r>
        <w:rPr>
          <w:rFonts w:ascii="Times New Roman" w:hAnsi="Times New Roman" w:eastAsia="仿宋"/>
          <w:kern w:val="0"/>
          <w:sz w:val="32"/>
          <w:szCs w:val="32"/>
        </w:rPr>
        <w:t>未按期披露</w:t>
      </w:r>
      <w:r>
        <w:rPr>
          <w:rFonts w:hint="eastAsia" w:ascii="Times New Roman" w:hAnsi="Times New Roman" w:eastAsia="仿宋"/>
          <w:kern w:val="0"/>
          <w:sz w:val="32"/>
          <w:szCs w:val="32"/>
        </w:rPr>
        <w:t>的除外</w:t>
      </w:r>
      <w:r>
        <w:rPr>
          <w:rFonts w:ascii="Times New Roman" w:hAnsi="Times New Roman" w:eastAsia="仿宋" w:cstheme="minorBidi"/>
          <w:bCs/>
          <w:kern w:val="0"/>
          <w:sz w:val="32"/>
          <w:szCs w:val="32"/>
        </w:rPr>
        <w:t>；</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Times New Roman" w:hAnsi="Times New Roman" w:eastAsia="仿宋" w:cstheme="minorBidi"/>
          <w:bCs/>
          <w:kern w:val="0"/>
          <w:sz w:val="32"/>
          <w:szCs w:val="32"/>
        </w:rPr>
        <w:t>（七）最近</w:t>
      </w:r>
      <w:r>
        <w:rPr>
          <w:rFonts w:hint="eastAsia" w:ascii="Times New Roman" w:hAnsi="Times New Roman" w:eastAsia="仿宋" w:cstheme="minorBidi"/>
          <w:bCs/>
          <w:kern w:val="0"/>
          <w:sz w:val="32"/>
          <w:szCs w:val="32"/>
        </w:rPr>
        <w:t>两</w:t>
      </w:r>
      <w:r>
        <w:rPr>
          <w:rFonts w:ascii="Times New Roman" w:hAnsi="Times New Roman" w:eastAsia="仿宋" w:cstheme="minorBidi"/>
          <w:bCs/>
          <w:kern w:val="0"/>
          <w:sz w:val="32"/>
          <w:szCs w:val="32"/>
        </w:rPr>
        <w:t>年财务会计报告被会计师事务所出具非标准审计意见的审计报告；仅根据本办法第七条第二项规定条件进入创新层的，最近</w:t>
      </w:r>
      <w:r>
        <w:rPr>
          <w:rFonts w:hint="eastAsia" w:ascii="Times New Roman" w:hAnsi="Times New Roman" w:eastAsia="仿宋" w:cstheme="minorBidi"/>
          <w:bCs/>
          <w:kern w:val="0"/>
          <w:sz w:val="32"/>
          <w:szCs w:val="32"/>
        </w:rPr>
        <w:t>三</w:t>
      </w:r>
      <w:r>
        <w:rPr>
          <w:rFonts w:ascii="Times New Roman" w:hAnsi="Times New Roman" w:eastAsia="仿宋" w:cstheme="minorBidi"/>
          <w:bCs/>
          <w:kern w:val="0"/>
          <w:sz w:val="32"/>
          <w:szCs w:val="32"/>
        </w:rPr>
        <w:t>年财务会计报告被会计师事务所出具非标准审计意见的审计报告；</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bCs/>
          <w:kern w:val="0"/>
          <w:sz w:val="32"/>
          <w:szCs w:val="32"/>
        </w:rPr>
        <w:t>（</w:t>
      </w:r>
      <w:r>
        <w:rPr>
          <w:rFonts w:ascii="Times New Roman" w:hAnsi="Times New Roman" w:eastAsia="仿宋" w:cstheme="minorBidi"/>
          <w:bCs/>
          <w:kern w:val="0"/>
          <w:sz w:val="32"/>
          <w:szCs w:val="32"/>
        </w:rPr>
        <w:t>八</w:t>
      </w:r>
      <w:r>
        <w:rPr>
          <w:rFonts w:hint="eastAsia" w:ascii="Times New Roman" w:hAnsi="Times New Roman" w:eastAsia="仿宋" w:cstheme="minorBidi"/>
          <w:bCs/>
          <w:kern w:val="0"/>
          <w:sz w:val="32"/>
          <w:szCs w:val="32"/>
        </w:rPr>
        <w:t>）</w:t>
      </w:r>
      <w:r>
        <w:rPr>
          <w:rFonts w:ascii="Times New Roman" w:hAnsi="Times New Roman" w:eastAsia="仿宋" w:cstheme="minorBidi"/>
          <w:kern w:val="0"/>
          <w:sz w:val="32"/>
          <w:szCs w:val="32"/>
        </w:rPr>
        <w:t>中国证监会和</w:t>
      </w:r>
      <w:r>
        <w:rPr>
          <w:rFonts w:ascii="Times New Roman" w:hAnsi="Times New Roman" w:eastAsia="仿宋" w:cstheme="minorBidi"/>
          <w:bCs/>
          <w:kern w:val="0"/>
          <w:sz w:val="32"/>
          <w:szCs w:val="32"/>
        </w:rPr>
        <w:t>全国股转公司规定的其他情形。</w:t>
      </w:r>
    </w:p>
    <w:p>
      <w:pPr>
        <w:tabs>
          <w:tab w:val="left" w:pos="7176"/>
        </w:tabs>
        <w:spacing w:line="600" w:lineRule="exact"/>
        <w:ind w:firstLine="640" w:firstLineChars="200"/>
        <w:rPr>
          <w:rFonts w:ascii="Times New Roman" w:hAnsi="Times New Roman" w:eastAsia="仿宋" w:cstheme="minorBidi"/>
          <w:b/>
          <w:bCs/>
          <w:kern w:val="0"/>
          <w:sz w:val="32"/>
          <w:szCs w:val="32"/>
        </w:rPr>
      </w:pPr>
      <w:r>
        <w:rPr>
          <w:rFonts w:ascii="黑体" w:hAnsi="黑体" w:eastAsia="黑体" w:cstheme="minorBidi"/>
          <w:bCs/>
          <w:kern w:val="0"/>
          <w:sz w:val="32"/>
          <w:szCs w:val="32"/>
        </w:rPr>
        <w:t>第十一条</w:t>
      </w:r>
      <w:r>
        <w:rPr>
          <w:rFonts w:ascii="仿宋" w:hAnsi="仿宋" w:eastAsia="仿宋"/>
          <w:b/>
          <w:kern w:val="0"/>
          <w:sz w:val="32"/>
        </w:rPr>
        <w:t xml:space="preserve">  </w:t>
      </w:r>
      <w:r>
        <w:rPr>
          <w:rFonts w:hint="eastAsia" w:ascii="Times New Roman" w:hAnsi="Times New Roman" w:eastAsia="仿宋" w:cstheme="minorBidi"/>
          <w:bCs/>
          <w:kern w:val="0"/>
          <w:sz w:val="32"/>
          <w:szCs w:val="32"/>
        </w:rPr>
        <w:t>申请挂牌同时进入创新层的公司，</w:t>
      </w:r>
      <w:r>
        <w:rPr>
          <w:rFonts w:ascii="Times New Roman" w:hAnsi="Times New Roman" w:eastAsia="仿宋" w:cstheme="minorBidi"/>
          <w:kern w:val="0"/>
          <w:sz w:val="32"/>
          <w:szCs w:val="32"/>
        </w:rPr>
        <w:t>应当符合下列条件之一：</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Times New Roman" w:hAnsi="Times New Roman" w:eastAsia="仿宋" w:cstheme="minorBidi"/>
          <w:bCs/>
          <w:kern w:val="0"/>
          <w:sz w:val="32"/>
          <w:szCs w:val="32"/>
        </w:rPr>
        <w:t>（一）</w:t>
      </w:r>
      <w:r>
        <w:rPr>
          <w:rFonts w:hint="eastAsia" w:ascii="Times New Roman" w:hAnsi="Times New Roman" w:eastAsia="仿宋" w:cstheme="minorBidi"/>
          <w:bCs/>
          <w:kern w:val="0"/>
          <w:sz w:val="32"/>
          <w:szCs w:val="32"/>
        </w:rPr>
        <w:t>最近两年净利润均不低于1000万元，最近两年加权平均净资产收益率平均不低于6%，股本总额不少于2000万元；</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bCs/>
          <w:kern w:val="0"/>
          <w:sz w:val="32"/>
          <w:szCs w:val="32"/>
        </w:rPr>
        <w:t>（二）最近两年营业收入平均不低于8000万元，且持续增长，年均复合增长率不低于30%，股本总额不少于2000万元；</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bCs/>
          <w:kern w:val="0"/>
          <w:sz w:val="32"/>
          <w:szCs w:val="32"/>
        </w:rPr>
        <w:t>（三）最近</w:t>
      </w:r>
      <w:r>
        <w:rPr>
          <w:rFonts w:ascii="Times New Roman" w:hAnsi="Times New Roman" w:eastAsia="仿宋" w:cstheme="minorBidi"/>
          <w:bCs/>
          <w:kern w:val="0"/>
          <w:sz w:val="32"/>
          <w:szCs w:val="32"/>
        </w:rPr>
        <w:t>两</w:t>
      </w:r>
      <w:r>
        <w:rPr>
          <w:rFonts w:hint="eastAsia" w:ascii="Times New Roman" w:hAnsi="Times New Roman" w:eastAsia="仿宋" w:cstheme="minorBidi"/>
          <w:bCs/>
          <w:kern w:val="0"/>
          <w:sz w:val="32"/>
          <w:szCs w:val="32"/>
        </w:rPr>
        <w:t>年研发投入不低于2500万元，完成挂牌同时定向发行</w:t>
      </w:r>
      <w:r>
        <w:rPr>
          <w:rFonts w:ascii="Times New Roman" w:hAnsi="Times New Roman" w:eastAsia="仿宋" w:cstheme="minorBidi"/>
          <w:bCs/>
          <w:kern w:val="0"/>
          <w:sz w:val="32"/>
          <w:szCs w:val="32"/>
        </w:rPr>
        <w:t>普通股</w:t>
      </w:r>
      <w:r>
        <w:rPr>
          <w:rFonts w:hint="eastAsia" w:ascii="Times New Roman" w:hAnsi="Times New Roman" w:eastAsia="仿宋" w:cstheme="minorBidi"/>
          <w:bCs/>
          <w:kern w:val="0"/>
          <w:sz w:val="32"/>
          <w:szCs w:val="32"/>
        </w:rPr>
        <w:t>后，融资金额不低于</w:t>
      </w:r>
      <w:r>
        <w:rPr>
          <w:rFonts w:ascii="Times New Roman" w:hAnsi="Times New Roman" w:eastAsia="仿宋" w:cstheme="minorBidi"/>
          <w:bCs/>
          <w:kern w:val="0"/>
          <w:sz w:val="32"/>
          <w:szCs w:val="32"/>
        </w:rPr>
        <w:t>4</w:t>
      </w:r>
      <w:r>
        <w:rPr>
          <w:rFonts w:hint="eastAsia" w:ascii="Times New Roman" w:hAnsi="Times New Roman" w:eastAsia="仿宋" w:cstheme="minorBidi"/>
          <w:bCs/>
          <w:kern w:val="0"/>
          <w:sz w:val="32"/>
          <w:szCs w:val="32"/>
        </w:rPr>
        <w:t>000万元（不含以非现金资产认购的部分），且公司股票市值不低于3亿元；</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bCs/>
          <w:kern w:val="0"/>
          <w:sz w:val="32"/>
          <w:szCs w:val="32"/>
        </w:rPr>
        <w:t>（四）</w:t>
      </w:r>
      <w:r>
        <w:rPr>
          <w:rFonts w:ascii="Times New Roman" w:hAnsi="Times New Roman" w:eastAsia="仿宋" w:cstheme="minorBidi"/>
          <w:bCs/>
          <w:kern w:val="0"/>
          <w:sz w:val="32"/>
          <w:szCs w:val="32"/>
        </w:rPr>
        <w:t>在挂牌时即采取做市交易方式，完成挂牌同时定向发行普通股后，公司股票市值不低于3亿元，股本总额不少于5000万元，做市商家数不少于</w:t>
      </w:r>
      <w:r>
        <w:rPr>
          <w:rFonts w:hint="eastAsia" w:ascii="Times New Roman" w:hAnsi="Times New Roman" w:eastAsia="仿宋" w:cstheme="minorBidi"/>
          <w:bCs/>
          <w:kern w:val="0"/>
          <w:sz w:val="32"/>
          <w:szCs w:val="32"/>
        </w:rPr>
        <w:t>4</w:t>
      </w:r>
      <w:r>
        <w:rPr>
          <w:rFonts w:ascii="Times New Roman" w:hAnsi="Times New Roman" w:eastAsia="仿宋" w:cstheme="minorBidi"/>
          <w:bCs/>
          <w:kern w:val="0"/>
          <w:sz w:val="32"/>
          <w:szCs w:val="32"/>
        </w:rPr>
        <w:t>家，且做市商做市库存股均通过本次定向发行取得</w:t>
      </w:r>
      <w:r>
        <w:rPr>
          <w:rFonts w:hint="eastAsia" w:ascii="Times New Roman" w:hAnsi="Times New Roman" w:eastAsia="仿宋" w:cstheme="minorBidi"/>
          <w:bCs/>
          <w:kern w:val="0"/>
          <w:sz w:val="32"/>
          <w:szCs w:val="32"/>
        </w:rPr>
        <w:t>。</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Times New Roman" w:hAnsi="Times New Roman" w:eastAsia="仿宋" w:cstheme="minorBidi"/>
          <w:bCs/>
          <w:kern w:val="0"/>
          <w:sz w:val="32"/>
          <w:szCs w:val="32"/>
        </w:rPr>
        <w:t>前款所称市值是指以申请挂牌公司挂牌同时定向发行</w:t>
      </w:r>
      <w:r>
        <w:rPr>
          <w:rFonts w:hint="eastAsia" w:ascii="Times New Roman" w:hAnsi="Times New Roman" w:eastAsia="仿宋" w:cstheme="minorBidi"/>
          <w:bCs/>
          <w:kern w:val="0"/>
          <w:sz w:val="32"/>
          <w:szCs w:val="32"/>
        </w:rPr>
        <w:t>普通股</w:t>
      </w:r>
      <w:r>
        <w:rPr>
          <w:rFonts w:ascii="Times New Roman" w:hAnsi="Times New Roman" w:eastAsia="仿宋" w:cstheme="minorBidi"/>
          <w:bCs/>
          <w:kern w:val="0"/>
          <w:sz w:val="32"/>
          <w:szCs w:val="32"/>
        </w:rPr>
        <w:t>价格计算的股票市值。</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黑体" w:hAnsi="黑体" w:eastAsia="黑体" w:cstheme="minorBidi"/>
          <w:bCs/>
          <w:kern w:val="0"/>
          <w:sz w:val="32"/>
          <w:szCs w:val="32"/>
        </w:rPr>
        <w:t>第十二条</w:t>
      </w:r>
      <w:r>
        <w:rPr>
          <w:rFonts w:ascii="仿宋" w:hAnsi="仿宋" w:eastAsia="仿宋"/>
          <w:b/>
          <w:kern w:val="0"/>
          <w:sz w:val="32"/>
        </w:rPr>
        <w:t xml:space="preserve">  </w:t>
      </w:r>
      <w:r>
        <w:rPr>
          <w:rFonts w:ascii="Times New Roman" w:hAnsi="Times New Roman" w:eastAsia="仿宋" w:cstheme="minorBidi"/>
          <w:bCs/>
          <w:kern w:val="0"/>
          <w:sz w:val="32"/>
          <w:szCs w:val="32"/>
        </w:rPr>
        <w:t>申请挂牌同时进入创新层的公司</w:t>
      </w:r>
      <w:r>
        <w:rPr>
          <w:rFonts w:hint="eastAsia" w:ascii="Times New Roman" w:hAnsi="Times New Roman" w:eastAsia="仿宋" w:cstheme="minorBidi"/>
          <w:bCs/>
          <w:kern w:val="0"/>
          <w:sz w:val="32"/>
          <w:szCs w:val="32"/>
        </w:rPr>
        <w:t>，同时还应当符合下列条件：</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bCs/>
          <w:kern w:val="0"/>
          <w:sz w:val="32"/>
          <w:szCs w:val="32"/>
        </w:rPr>
        <w:t>（一）</w:t>
      </w:r>
      <w:r>
        <w:rPr>
          <w:rFonts w:ascii="Times New Roman" w:hAnsi="Times New Roman" w:eastAsia="仿宋" w:cstheme="minorBidi"/>
          <w:bCs/>
          <w:kern w:val="0"/>
          <w:sz w:val="32"/>
          <w:szCs w:val="32"/>
        </w:rPr>
        <w:t>完成挂牌同时</w:t>
      </w:r>
      <w:r>
        <w:rPr>
          <w:rFonts w:hint="eastAsia" w:ascii="Times New Roman" w:hAnsi="Times New Roman" w:eastAsia="仿宋" w:cstheme="minorBidi"/>
          <w:bCs/>
          <w:kern w:val="0"/>
          <w:sz w:val="32"/>
          <w:szCs w:val="32"/>
        </w:rPr>
        <w:t>定向发行普通股、优先股</w:t>
      </w:r>
      <w:r>
        <w:rPr>
          <w:rFonts w:hint="eastAsia" w:ascii="Times New Roman" w:hAnsi="Times New Roman" w:eastAsia="仿宋" w:cstheme="minorBidi"/>
          <w:kern w:val="0"/>
          <w:sz w:val="32"/>
          <w:szCs w:val="32"/>
        </w:rPr>
        <w:t>或可转债</w:t>
      </w:r>
      <w:r>
        <w:rPr>
          <w:rFonts w:hint="eastAsia" w:ascii="Times New Roman" w:hAnsi="Times New Roman" w:eastAsia="仿宋" w:cstheme="minorBidi"/>
          <w:bCs/>
          <w:kern w:val="0"/>
          <w:sz w:val="32"/>
          <w:szCs w:val="32"/>
        </w:rPr>
        <w:t>，</w:t>
      </w:r>
      <w:r>
        <w:rPr>
          <w:rFonts w:ascii="Times New Roman" w:hAnsi="Times New Roman" w:eastAsia="仿宋" w:cstheme="minorBidi"/>
          <w:bCs/>
          <w:kern w:val="0"/>
          <w:sz w:val="32"/>
          <w:szCs w:val="32"/>
        </w:rPr>
        <w:t>且融资金额不低于</w:t>
      </w:r>
      <w:r>
        <w:rPr>
          <w:rFonts w:ascii="Times New Roman" w:hAnsi="Times New Roman" w:eastAsia="仿宋" w:cstheme="minorBidi"/>
          <w:kern w:val="0"/>
          <w:sz w:val="32"/>
          <w:szCs w:val="32"/>
        </w:rPr>
        <w:t>1000</w:t>
      </w:r>
      <w:r>
        <w:rPr>
          <w:rFonts w:ascii="Times New Roman" w:hAnsi="Times New Roman" w:eastAsia="仿宋" w:cstheme="minorBidi"/>
          <w:bCs/>
          <w:kern w:val="0"/>
          <w:sz w:val="32"/>
          <w:szCs w:val="32"/>
        </w:rPr>
        <w:t>万元</w:t>
      </w:r>
      <w:r>
        <w:rPr>
          <w:rFonts w:hint="eastAsia" w:ascii="Times New Roman" w:hAnsi="Times New Roman" w:eastAsia="仿宋" w:cstheme="minorBidi"/>
          <w:bCs/>
          <w:kern w:val="0"/>
          <w:sz w:val="32"/>
          <w:szCs w:val="32"/>
        </w:rPr>
        <w:t>（不含以非现金资产认购的部分）</w:t>
      </w:r>
      <w:r>
        <w:rPr>
          <w:rFonts w:ascii="Times New Roman" w:hAnsi="Times New Roman" w:eastAsia="仿宋" w:cstheme="minorBidi"/>
          <w:bCs/>
          <w:kern w:val="0"/>
          <w:sz w:val="32"/>
          <w:szCs w:val="32"/>
        </w:rPr>
        <w:t>；</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Times New Roman" w:hAnsi="Times New Roman" w:eastAsia="仿宋" w:cstheme="minorBidi"/>
          <w:bCs/>
          <w:kern w:val="0"/>
          <w:sz w:val="32"/>
          <w:szCs w:val="32"/>
        </w:rPr>
        <w:t>（二）符合本办法第八条</w:t>
      </w:r>
      <w:r>
        <w:rPr>
          <w:rFonts w:hint="eastAsia" w:ascii="Times New Roman" w:hAnsi="Times New Roman" w:eastAsia="仿宋" w:cstheme="minorBidi"/>
          <w:bCs/>
          <w:kern w:val="0"/>
          <w:sz w:val="32"/>
          <w:szCs w:val="32"/>
        </w:rPr>
        <w:t>第一款</w:t>
      </w:r>
      <w:r>
        <w:rPr>
          <w:rFonts w:ascii="Times New Roman" w:hAnsi="Times New Roman" w:eastAsia="仿宋" w:cstheme="minorBidi"/>
          <w:bCs/>
          <w:kern w:val="0"/>
          <w:sz w:val="32"/>
          <w:szCs w:val="32"/>
        </w:rPr>
        <w:t>第</w:t>
      </w:r>
      <w:r>
        <w:rPr>
          <w:rFonts w:hint="eastAsia" w:ascii="Times New Roman" w:hAnsi="Times New Roman" w:eastAsia="仿宋" w:cstheme="minorBidi"/>
          <w:bCs/>
          <w:kern w:val="0"/>
          <w:sz w:val="32"/>
          <w:szCs w:val="32"/>
        </w:rPr>
        <w:t>二</w:t>
      </w:r>
      <w:r>
        <w:rPr>
          <w:rFonts w:ascii="Times New Roman" w:hAnsi="Times New Roman" w:eastAsia="仿宋" w:cstheme="minorBidi"/>
          <w:bCs/>
          <w:kern w:val="0"/>
          <w:sz w:val="32"/>
          <w:szCs w:val="32"/>
        </w:rPr>
        <w:t>项和第</w:t>
      </w:r>
      <w:r>
        <w:rPr>
          <w:rFonts w:hint="eastAsia" w:ascii="Times New Roman" w:hAnsi="Times New Roman" w:eastAsia="仿宋" w:cstheme="minorBidi"/>
          <w:bCs/>
          <w:kern w:val="0"/>
          <w:sz w:val="32"/>
          <w:szCs w:val="32"/>
        </w:rPr>
        <w:t>三</w:t>
      </w:r>
      <w:r>
        <w:rPr>
          <w:rFonts w:ascii="Times New Roman" w:hAnsi="Times New Roman" w:eastAsia="仿宋" w:cstheme="minorBidi"/>
          <w:bCs/>
          <w:kern w:val="0"/>
          <w:sz w:val="32"/>
          <w:szCs w:val="32"/>
        </w:rPr>
        <w:t>项的规定；</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Times New Roman" w:hAnsi="Times New Roman" w:eastAsia="仿宋" w:cstheme="minorBidi"/>
          <w:bCs/>
          <w:kern w:val="0"/>
          <w:sz w:val="32"/>
          <w:szCs w:val="32"/>
        </w:rPr>
        <w:t>（三）不存在本办法第十条第一项至第五项、第七项规定的情形；</w:t>
      </w:r>
    </w:p>
    <w:p>
      <w:pPr>
        <w:tabs>
          <w:tab w:val="left" w:pos="7176"/>
        </w:tabs>
        <w:spacing w:line="600" w:lineRule="exact"/>
        <w:ind w:firstLine="640" w:firstLineChars="200"/>
        <w:rPr>
          <w:rFonts w:ascii="Times New Roman" w:hAnsi="Times New Roman" w:eastAsia="仿宋" w:cstheme="minorBidi"/>
          <w:bCs/>
          <w:kern w:val="0"/>
          <w:sz w:val="32"/>
          <w:szCs w:val="32"/>
        </w:rPr>
      </w:pPr>
      <w:r>
        <w:rPr>
          <w:rFonts w:ascii="Times New Roman" w:hAnsi="Times New Roman" w:eastAsia="仿宋" w:cstheme="minorBidi"/>
          <w:bCs/>
          <w:kern w:val="0"/>
          <w:sz w:val="32"/>
          <w:szCs w:val="32"/>
        </w:rPr>
        <w:t>（四）</w:t>
      </w:r>
      <w:r>
        <w:rPr>
          <w:rFonts w:ascii="Times New Roman" w:hAnsi="Times New Roman" w:eastAsia="仿宋" w:cstheme="minorBidi"/>
          <w:kern w:val="0"/>
          <w:sz w:val="32"/>
          <w:szCs w:val="32"/>
        </w:rPr>
        <w:t>中国证监会和</w:t>
      </w:r>
      <w:r>
        <w:rPr>
          <w:rFonts w:ascii="Times New Roman" w:hAnsi="Times New Roman" w:eastAsia="仿宋" w:cstheme="minorBidi"/>
          <w:bCs/>
          <w:kern w:val="0"/>
          <w:sz w:val="32"/>
          <w:szCs w:val="32"/>
        </w:rPr>
        <w:t>全国股转公司规定的其他条件。</w:t>
      </w:r>
    </w:p>
    <w:p>
      <w:pPr>
        <w:shd w:val="clear" w:color="auto" w:fill="FFFFFF"/>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第十三条</w:t>
      </w:r>
      <w:r>
        <w:rPr>
          <w:rFonts w:ascii="仿宋" w:hAnsi="仿宋" w:eastAsia="仿宋"/>
          <w:b/>
          <w:kern w:val="0"/>
          <w:sz w:val="32"/>
        </w:rPr>
        <w:t xml:space="preserve">  </w:t>
      </w:r>
      <w:r>
        <w:rPr>
          <w:rFonts w:ascii="Times New Roman" w:hAnsi="Times New Roman" w:eastAsia="仿宋" w:cstheme="minorBidi"/>
          <w:bCs/>
          <w:kern w:val="0"/>
          <w:sz w:val="32"/>
          <w:szCs w:val="32"/>
        </w:rPr>
        <w:t>申请挂牌公司符合</w:t>
      </w:r>
      <w:r>
        <w:rPr>
          <w:rFonts w:ascii="Times New Roman" w:hAnsi="Times New Roman" w:eastAsia="仿宋" w:cstheme="minorBidi"/>
          <w:kern w:val="0"/>
          <w:sz w:val="32"/>
          <w:szCs w:val="32"/>
        </w:rPr>
        <w:t>挂牌条件，但未进入创新层的，应当自挂牌之日起进入基础层。</w:t>
      </w:r>
    </w:p>
    <w:p>
      <w:pPr>
        <w:shd w:val="clear" w:color="auto" w:fill="FFFFFF"/>
        <w:spacing w:line="600" w:lineRule="exact"/>
        <w:ind w:firstLine="640" w:firstLineChars="200"/>
        <w:rPr>
          <w:rFonts w:ascii="Times New Roman" w:hAnsi="Times New Roman" w:eastAsia="方正大标宋简体" w:cstheme="minorBidi"/>
          <w:color w:val="000000"/>
          <w:sz w:val="44"/>
          <w:szCs w:val="42"/>
        </w:rPr>
      </w:pPr>
      <w:r>
        <w:rPr>
          <w:rFonts w:ascii="Times New Roman" w:hAnsi="Times New Roman" w:eastAsia="仿宋" w:cstheme="minorBidi"/>
          <w:kern w:val="0"/>
          <w:sz w:val="32"/>
          <w:szCs w:val="32"/>
        </w:rPr>
        <w:t>挂牌公司未进入创新层的，应当进入基础层。</w:t>
      </w:r>
    </w:p>
    <w:p>
      <w:pPr>
        <w:spacing w:line="600" w:lineRule="exact"/>
        <w:ind w:firstLine="640" w:firstLineChars="200"/>
        <w:rPr>
          <w:rFonts w:ascii="Times New Roman" w:hAnsi="Times New Roman" w:eastAsia="仿宋"/>
          <w:kern w:val="0"/>
          <w:sz w:val="32"/>
          <w:szCs w:val="32"/>
        </w:rPr>
      </w:pPr>
      <w:r>
        <w:rPr>
          <w:rFonts w:ascii="黑体" w:hAnsi="黑体" w:eastAsia="黑体"/>
          <w:bCs/>
          <w:kern w:val="0"/>
          <w:sz w:val="32"/>
          <w:szCs w:val="32"/>
        </w:rPr>
        <w:t>第十四条</w:t>
      </w:r>
      <w:r>
        <w:rPr>
          <w:rFonts w:ascii="仿宋" w:hAnsi="仿宋" w:eastAsia="仿宋"/>
          <w:b/>
          <w:kern w:val="0"/>
          <w:sz w:val="32"/>
        </w:rPr>
        <w:t xml:space="preserve">  </w:t>
      </w:r>
      <w:r>
        <w:rPr>
          <w:rFonts w:ascii="Times New Roman" w:hAnsi="Times New Roman" w:eastAsia="仿宋"/>
          <w:kern w:val="0"/>
          <w:sz w:val="32"/>
          <w:szCs w:val="32"/>
        </w:rPr>
        <w:t>创新层挂牌公司出现下列情形之一的，全国股转公司将其调</w:t>
      </w:r>
      <w:r>
        <w:rPr>
          <w:rFonts w:hint="eastAsia" w:ascii="Times New Roman" w:hAnsi="Times New Roman" w:eastAsia="仿宋"/>
          <w:kern w:val="0"/>
          <w:sz w:val="32"/>
          <w:szCs w:val="32"/>
        </w:rPr>
        <w:t>整</w:t>
      </w:r>
      <w:r>
        <w:rPr>
          <w:rFonts w:ascii="Times New Roman" w:hAnsi="Times New Roman" w:eastAsia="仿宋"/>
          <w:kern w:val="0"/>
          <w:sz w:val="32"/>
          <w:szCs w:val="32"/>
        </w:rPr>
        <w:t>至基础层：</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（一）最近两年净利润均为负值，且营业收入均低于5000万元，或者最近三年净利润均为负值，且最近两年营业收入持续下降；</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（二）最近一年期末净资产为负值；</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（三）最近一年财务会计报告被会计师事务所出具否定意见或无法表示意见的审计报告</w:t>
      </w:r>
      <w:r>
        <w:rPr>
          <w:rFonts w:hint="eastAsia" w:ascii="Times New Roman" w:hAnsi="Times New Roman" w:eastAsia="仿宋"/>
          <w:kern w:val="0"/>
          <w:sz w:val="32"/>
          <w:szCs w:val="32"/>
        </w:rPr>
        <w:t>，或者最近一年财务会计报告被会计师事务所出具保留意见的审计报告且净利润为负值；</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w:t>
      </w:r>
      <w:r>
        <w:rPr>
          <w:rFonts w:ascii="Times New Roman" w:hAnsi="Times New Roman" w:eastAsia="仿宋"/>
          <w:kern w:val="0"/>
          <w:sz w:val="32"/>
          <w:szCs w:val="32"/>
        </w:rPr>
        <w:t>四</w:t>
      </w:r>
      <w:r>
        <w:rPr>
          <w:rFonts w:hint="eastAsia" w:ascii="Times New Roman" w:hAnsi="Times New Roman" w:eastAsia="仿宋"/>
          <w:kern w:val="0"/>
          <w:sz w:val="32"/>
          <w:szCs w:val="32"/>
        </w:rPr>
        <w:t>）半数以上董事无法保证年度报告或者中期报告内容的真实性、准确性、完整性或者提出异议；</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（五）因更正年度报告导致进层时不符合创新层进层条件，或者出现本款第一项至第</w:t>
      </w:r>
      <w:r>
        <w:rPr>
          <w:rFonts w:ascii="Times New Roman" w:hAnsi="Times New Roman" w:eastAsia="仿宋"/>
          <w:kern w:val="0"/>
          <w:sz w:val="32"/>
          <w:szCs w:val="32"/>
        </w:rPr>
        <w:t>四</w:t>
      </w:r>
      <w:r>
        <w:rPr>
          <w:rFonts w:hint="eastAsia" w:ascii="Times New Roman" w:hAnsi="Times New Roman" w:eastAsia="仿宋"/>
          <w:kern w:val="0"/>
          <w:sz w:val="32"/>
          <w:szCs w:val="32"/>
        </w:rPr>
        <w:t>项规定情形；</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（六）不符合创新层进层条件，但依据虚假材料进入的；</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（七）未按照全国股转公司规定在每个会计年度结束之日起4个月内编制并披露年度报告，或者未在每个会计年度的上半年结束之日起2个月内编制并披露中期报告，</w:t>
      </w:r>
      <w:r>
        <w:rPr>
          <w:rFonts w:ascii="Times New Roman" w:hAnsi="Times New Roman" w:eastAsia="仿宋"/>
          <w:kern w:val="0"/>
          <w:sz w:val="32"/>
          <w:szCs w:val="32"/>
        </w:rPr>
        <w:t>因</w:t>
      </w:r>
      <w:r>
        <w:rPr>
          <w:rFonts w:hint="eastAsia" w:ascii="Times New Roman" w:hAnsi="Times New Roman" w:eastAsia="仿宋"/>
          <w:kern w:val="0"/>
          <w:sz w:val="32"/>
          <w:szCs w:val="32"/>
        </w:rPr>
        <w:t>不可抗力等特殊</w:t>
      </w:r>
      <w:r>
        <w:rPr>
          <w:rFonts w:ascii="Times New Roman" w:hAnsi="Times New Roman" w:eastAsia="仿宋"/>
          <w:kern w:val="0"/>
          <w:sz w:val="32"/>
          <w:szCs w:val="32"/>
        </w:rPr>
        <w:t>原因</w:t>
      </w:r>
      <w:r>
        <w:rPr>
          <w:rFonts w:hint="eastAsia" w:ascii="Times New Roman" w:hAnsi="Times New Roman" w:eastAsia="仿宋"/>
          <w:kern w:val="0"/>
          <w:sz w:val="32"/>
          <w:szCs w:val="32"/>
        </w:rPr>
        <w:t>导致</w:t>
      </w:r>
      <w:r>
        <w:rPr>
          <w:rFonts w:ascii="Times New Roman" w:hAnsi="Times New Roman" w:eastAsia="仿宋"/>
          <w:kern w:val="0"/>
          <w:sz w:val="32"/>
          <w:szCs w:val="32"/>
        </w:rPr>
        <w:t>未按期披露</w:t>
      </w:r>
      <w:r>
        <w:rPr>
          <w:rFonts w:hint="eastAsia" w:ascii="Times New Roman" w:hAnsi="Times New Roman" w:eastAsia="仿宋"/>
          <w:kern w:val="0"/>
          <w:sz w:val="32"/>
          <w:szCs w:val="32"/>
        </w:rPr>
        <w:t>的除外；</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（八）</w:t>
      </w:r>
      <w:r>
        <w:rPr>
          <w:rFonts w:ascii="Times New Roman" w:hAnsi="Times New Roman" w:eastAsia="仿宋"/>
          <w:kern w:val="0"/>
          <w:sz w:val="32"/>
          <w:szCs w:val="32"/>
        </w:rPr>
        <w:t>进入创新层后</w:t>
      </w:r>
      <w:r>
        <w:rPr>
          <w:rFonts w:hint="eastAsia" w:ascii="Times New Roman" w:hAnsi="Times New Roman" w:eastAsia="仿宋"/>
          <w:kern w:val="0"/>
          <w:sz w:val="32"/>
          <w:szCs w:val="32"/>
        </w:rPr>
        <w:t>，最近24个月内因不同事项受到中国证监会及其派出机构行政处罚或全国股转公司公开谴责的次数累计达到2次，或者</w:t>
      </w:r>
      <w:r>
        <w:rPr>
          <w:rFonts w:hint="eastAsia" w:ascii="仿宋" w:hAnsi="仿宋" w:eastAsia="仿宋" w:cstheme="minorBidi"/>
          <w:bCs/>
          <w:kern w:val="0"/>
          <w:sz w:val="32"/>
          <w:szCs w:val="32"/>
        </w:rPr>
        <w:t>因资金占用、违规对外担保</w:t>
      </w:r>
      <w:r>
        <w:rPr>
          <w:rFonts w:hint="eastAsia" w:ascii="Times New Roman" w:hAnsi="Times New Roman" w:eastAsia="仿宋"/>
          <w:kern w:val="0"/>
          <w:sz w:val="32"/>
          <w:szCs w:val="32"/>
        </w:rPr>
        <w:t>受到中国证监会及其派出机构行政处罚或全国股转公司公开谴责，或者受到刑事处罚；</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（九）连续60个交易日，股票每日收盘价均低于每股面值；</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（十</w:t>
      </w:r>
      <w:r>
        <w:rPr>
          <w:rFonts w:ascii="Times New Roman" w:hAnsi="Times New Roman" w:eastAsia="仿宋"/>
          <w:kern w:val="0"/>
          <w:sz w:val="32"/>
          <w:szCs w:val="32"/>
        </w:rPr>
        <w:t>）</w:t>
      </w:r>
      <w:r>
        <w:rPr>
          <w:rFonts w:hint="eastAsia" w:ascii="Times New Roman" w:hAnsi="Times New Roman" w:eastAsia="仿宋"/>
          <w:kern w:val="0"/>
          <w:sz w:val="32"/>
          <w:szCs w:val="32"/>
        </w:rPr>
        <w:t>仅根据本办法第</w:t>
      </w:r>
      <w:r>
        <w:rPr>
          <w:rFonts w:ascii="Times New Roman" w:hAnsi="Times New Roman" w:eastAsia="仿宋"/>
          <w:kern w:val="0"/>
          <w:sz w:val="32"/>
          <w:szCs w:val="32"/>
        </w:rPr>
        <w:t>七</w:t>
      </w:r>
      <w:r>
        <w:rPr>
          <w:rFonts w:hint="eastAsia" w:ascii="Times New Roman" w:hAnsi="Times New Roman" w:eastAsia="仿宋"/>
          <w:kern w:val="0"/>
          <w:sz w:val="32"/>
          <w:szCs w:val="32"/>
        </w:rPr>
        <w:t>条第</w:t>
      </w:r>
      <w:r>
        <w:rPr>
          <w:rFonts w:ascii="Times New Roman" w:hAnsi="Times New Roman" w:eastAsia="仿宋"/>
          <w:kern w:val="0"/>
          <w:sz w:val="32"/>
          <w:szCs w:val="32"/>
        </w:rPr>
        <w:t>三</w:t>
      </w:r>
      <w:r>
        <w:rPr>
          <w:rFonts w:hint="eastAsia" w:ascii="Times New Roman" w:hAnsi="Times New Roman" w:eastAsia="仿宋"/>
          <w:kern w:val="0"/>
          <w:sz w:val="32"/>
          <w:szCs w:val="32"/>
        </w:rPr>
        <w:t>项或第</w:t>
      </w:r>
      <w:r>
        <w:rPr>
          <w:rFonts w:ascii="Times New Roman" w:hAnsi="Times New Roman" w:eastAsia="仿宋"/>
          <w:kern w:val="0"/>
          <w:sz w:val="32"/>
          <w:szCs w:val="32"/>
        </w:rPr>
        <w:t>四</w:t>
      </w:r>
      <w:r>
        <w:rPr>
          <w:rFonts w:hint="eastAsia" w:ascii="Times New Roman" w:hAnsi="Times New Roman" w:eastAsia="仿宋"/>
          <w:kern w:val="0"/>
          <w:sz w:val="32"/>
          <w:szCs w:val="32"/>
        </w:rPr>
        <w:t>项，</w:t>
      </w:r>
      <w:r>
        <w:rPr>
          <w:rFonts w:ascii="Times New Roman" w:hAnsi="Times New Roman" w:eastAsia="仿宋"/>
          <w:kern w:val="0"/>
          <w:sz w:val="32"/>
          <w:szCs w:val="32"/>
        </w:rPr>
        <w:t>或者</w:t>
      </w:r>
      <w:r>
        <w:rPr>
          <w:rFonts w:hint="eastAsia" w:ascii="Times New Roman" w:hAnsi="Times New Roman" w:eastAsia="仿宋"/>
          <w:kern w:val="0"/>
          <w:sz w:val="32"/>
          <w:szCs w:val="32"/>
        </w:rPr>
        <w:t>第十</w:t>
      </w:r>
      <w:r>
        <w:rPr>
          <w:rFonts w:ascii="Times New Roman" w:hAnsi="Times New Roman" w:eastAsia="仿宋"/>
          <w:kern w:val="0"/>
          <w:sz w:val="32"/>
          <w:szCs w:val="32"/>
        </w:rPr>
        <w:t>一</w:t>
      </w:r>
      <w:r>
        <w:rPr>
          <w:rFonts w:hint="eastAsia" w:ascii="Times New Roman" w:hAnsi="Times New Roman" w:eastAsia="仿宋"/>
          <w:kern w:val="0"/>
          <w:sz w:val="32"/>
          <w:szCs w:val="32"/>
        </w:rPr>
        <w:t>条第一款第</w:t>
      </w:r>
      <w:r>
        <w:rPr>
          <w:rFonts w:ascii="Times New Roman" w:hAnsi="Times New Roman" w:eastAsia="仿宋"/>
          <w:kern w:val="0"/>
          <w:sz w:val="32"/>
          <w:szCs w:val="32"/>
        </w:rPr>
        <w:t>三</w:t>
      </w:r>
      <w:r>
        <w:rPr>
          <w:rFonts w:hint="eastAsia" w:ascii="Times New Roman" w:hAnsi="Times New Roman" w:eastAsia="仿宋"/>
          <w:kern w:val="0"/>
          <w:sz w:val="32"/>
          <w:szCs w:val="32"/>
        </w:rPr>
        <w:t>项或第</w:t>
      </w:r>
      <w:r>
        <w:rPr>
          <w:rFonts w:ascii="Times New Roman" w:hAnsi="Times New Roman" w:eastAsia="仿宋"/>
          <w:kern w:val="0"/>
          <w:sz w:val="32"/>
          <w:szCs w:val="32"/>
        </w:rPr>
        <w:t>四</w:t>
      </w:r>
      <w:r>
        <w:rPr>
          <w:rFonts w:hint="eastAsia" w:ascii="Times New Roman" w:hAnsi="Times New Roman" w:eastAsia="仿宋"/>
          <w:kern w:val="0"/>
          <w:sz w:val="32"/>
          <w:szCs w:val="32"/>
        </w:rPr>
        <w:t>项进入创新层的挂牌公司，连续60个交易日，股票交易市值均低于1亿元的；</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w:t>
      </w:r>
      <w:r>
        <w:rPr>
          <w:rFonts w:ascii="Times New Roman" w:hAnsi="Times New Roman" w:eastAsia="仿宋"/>
          <w:kern w:val="0"/>
          <w:sz w:val="32"/>
          <w:szCs w:val="32"/>
        </w:rPr>
        <w:t>十</w:t>
      </w:r>
      <w:r>
        <w:rPr>
          <w:rFonts w:hint="eastAsia" w:ascii="Times New Roman" w:hAnsi="Times New Roman" w:eastAsia="仿宋"/>
          <w:kern w:val="0"/>
          <w:sz w:val="32"/>
          <w:szCs w:val="32"/>
        </w:rPr>
        <w:t>一）中国证监会和全国股转公司规定的其他情形。</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仅根据本办法第</w:t>
      </w:r>
      <w:r>
        <w:rPr>
          <w:rFonts w:ascii="Times New Roman" w:hAnsi="Times New Roman" w:eastAsia="仿宋"/>
          <w:kern w:val="0"/>
          <w:sz w:val="32"/>
          <w:szCs w:val="32"/>
        </w:rPr>
        <w:t>七</w:t>
      </w:r>
      <w:r>
        <w:rPr>
          <w:rFonts w:hint="eastAsia" w:ascii="Times New Roman" w:hAnsi="Times New Roman" w:eastAsia="仿宋"/>
          <w:kern w:val="0"/>
          <w:sz w:val="32"/>
          <w:szCs w:val="32"/>
        </w:rPr>
        <w:t>条第</w:t>
      </w:r>
      <w:r>
        <w:rPr>
          <w:rFonts w:ascii="Times New Roman" w:hAnsi="Times New Roman" w:eastAsia="仿宋"/>
          <w:kern w:val="0"/>
          <w:sz w:val="32"/>
          <w:szCs w:val="32"/>
        </w:rPr>
        <w:t>三</w:t>
      </w:r>
      <w:r>
        <w:rPr>
          <w:rFonts w:hint="eastAsia" w:ascii="Times New Roman" w:hAnsi="Times New Roman" w:eastAsia="仿宋"/>
          <w:kern w:val="0"/>
          <w:sz w:val="32"/>
          <w:szCs w:val="32"/>
        </w:rPr>
        <w:t>项或第</w:t>
      </w:r>
      <w:r>
        <w:rPr>
          <w:rFonts w:ascii="Times New Roman" w:hAnsi="Times New Roman" w:eastAsia="仿宋"/>
          <w:kern w:val="0"/>
          <w:sz w:val="32"/>
          <w:szCs w:val="32"/>
        </w:rPr>
        <w:t>四</w:t>
      </w:r>
      <w:r>
        <w:rPr>
          <w:rFonts w:hint="eastAsia" w:ascii="Times New Roman" w:hAnsi="Times New Roman" w:eastAsia="仿宋"/>
          <w:kern w:val="0"/>
          <w:sz w:val="32"/>
          <w:szCs w:val="32"/>
        </w:rPr>
        <w:t>项，</w:t>
      </w:r>
      <w:r>
        <w:rPr>
          <w:rFonts w:ascii="Times New Roman" w:hAnsi="Times New Roman" w:eastAsia="仿宋"/>
          <w:kern w:val="0"/>
          <w:sz w:val="32"/>
          <w:szCs w:val="32"/>
        </w:rPr>
        <w:t>或者</w:t>
      </w:r>
      <w:r>
        <w:rPr>
          <w:rFonts w:hint="eastAsia" w:ascii="Times New Roman" w:hAnsi="Times New Roman" w:eastAsia="仿宋"/>
          <w:kern w:val="0"/>
          <w:sz w:val="32"/>
          <w:szCs w:val="32"/>
        </w:rPr>
        <w:t>第十</w:t>
      </w:r>
      <w:r>
        <w:rPr>
          <w:rFonts w:ascii="Times New Roman" w:hAnsi="Times New Roman" w:eastAsia="仿宋"/>
          <w:kern w:val="0"/>
          <w:sz w:val="32"/>
          <w:szCs w:val="32"/>
        </w:rPr>
        <w:t>一</w:t>
      </w:r>
      <w:r>
        <w:rPr>
          <w:rFonts w:hint="eastAsia" w:ascii="Times New Roman" w:hAnsi="Times New Roman" w:eastAsia="仿宋"/>
          <w:kern w:val="0"/>
          <w:sz w:val="32"/>
          <w:szCs w:val="32"/>
        </w:rPr>
        <w:t>条第一款第</w:t>
      </w:r>
      <w:r>
        <w:rPr>
          <w:rFonts w:ascii="Times New Roman" w:hAnsi="Times New Roman" w:eastAsia="仿宋"/>
          <w:kern w:val="0"/>
          <w:sz w:val="32"/>
          <w:szCs w:val="32"/>
        </w:rPr>
        <w:t>三</w:t>
      </w:r>
      <w:r>
        <w:rPr>
          <w:rFonts w:hint="eastAsia" w:ascii="Times New Roman" w:hAnsi="Times New Roman" w:eastAsia="仿宋"/>
          <w:kern w:val="0"/>
          <w:sz w:val="32"/>
          <w:szCs w:val="32"/>
        </w:rPr>
        <w:t>项或第</w:t>
      </w:r>
      <w:r>
        <w:rPr>
          <w:rFonts w:ascii="Times New Roman" w:hAnsi="Times New Roman" w:eastAsia="仿宋"/>
          <w:kern w:val="0"/>
          <w:sz w:val="32"/>
          <w:szCs w:val="32"/>
        </w:rPr>
        <w:t>四</w:t>
      </w:r>
      <w:r>
        <w:rPr>
          <w:rFonts w:hint="eastAsia" w:ascii="Times New Roman" w:hAnsi="Times New Roman" w:eastAsia="仿宋"/>
          <w:kern w:val="0"/>
          <w:sz w:val="32"/>
          <w:szCs w:val="32"/>
        </w:rPr>
        <w:t>项进入创新层的挂牌公司，不适用前款第一项的规定。</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本条第一款第九项和第十项规定的连续60个交易日，不包括挂牌公司股票停牌日。</w:t>
      </w:r>
    </w:p>
    <w:p>
      <w:pPr>
        <w:spacing w:before="240" w:after="240" w:line="600" w:lineRule="exact"/>
        <w:jc w:val="center"/>
        <w:outlineLvl w:val="0"/>
        <w:rPr>
          <w:rFonts w:ascii="Times New Roman" w:hAnsi="Times New Roman" w:eastAsia="黑体" w:cstheme="minorBidi"/>
          <w:bCs/>
          <w:sz w:val="32"/>
          <w:szCs w:val="32"/>
        </w:rPr>
      </w:pPr>
      <w:r>
        <w:rPr>
          <w:rFonts w:ascii="Times New Roman" w:hAnsi="Times New Roman" w:eastAsia="黑体" w:cstheme="minorBidi"/>
          <w:bCs/>
          <w:sz w:val="32"/>
          <w:szCs w:val="32"/>
        </w:rPr>
        <w:t xml:space="preserve">第三章  </w:t>
      </w:r>
      <w:r>
        <w:rPr>
          <w:rFonts w:hint="eastAsia" w:ascii="Times New Roman" w:hAnsi="Times New Roman" w:eastAsia="黑体" w:cstheme="minorBidi"/>
          <w:bCs/>
          <w:sz w:val="32"/>
          <w:szCs w:val="32"/>
        </w:rPr>
        <w:t>创新层的进层和降层调整程序</w:t>
      </w:r>
    </w:p>
    <w:p>
      <w:pPr>
        <w:spacing w:line="600" w:lineRule="exact"/>
        <w:ind w:firstLine="640" w:firstLineChars="200"/>
        <w:outlineLvl w:val="0"/>
        <w:rPr>
          <w:rFonts w:ascii="Times New Roman" w:hAnsi="Times New Roman" w:eastAsia="仿宋" w:cstheme="minorBidi"/>
          <w:bCs/>
          <w:kern w:val="0"/>
          <w:sz w:val="32"/>
          <w:szCs w:val="32"/>
        </w:rPr>
      </w:pPr>
      <w:r>
        <w:rPr>
          <w:rFonts w:ascii="黑体" w:hAnsi="黑体" w:eastAsia="黑体" w:cstheme="minorBidi"/>
          <w:bCs/>
          <w:kern w:val="0"/>
          <w:sz w:val="32"/>
          <w:szCs w:val="32"/>
        </w:rPr>
        <w:t>第十五条</w:t>
      </w:r>
      <w:r>
        <w:rPr>
          <w:rFonts w:ascii="仿宋" w:hAnsi="仿宋" w:eastAsia="仿宋"/>
          <w:b/>
          <w:kern w:val="0"/>
          <w:sz w:val="32"/>
        </w:rPr>
        <w:t xml:space="preserve">  </w:t>
      </w:r>
      <w:r>
        <w:rPr>
          <w:rFonts w:hint="eastAsia" w:ascii="Times New Roman" w:hAnsi="Times New Roman" w:eastAsia="仿宋" w:cstheme="minorBidi"/>
          <w:bCs/>
          <w:kern w:val="0"/>
          <w:sz w:val="32"/>
          <w:szCs w:val="32"/>
        </w:rPr>
        <w:t>全国股转公司自进层启动日起开展进层实施工作。基础层挂牌公司披露最近一个会计年度的财务报告后，符合创新层进层条件的，通过主办券商</w:t>
      </w:r>
      <w:r>
        <w:rPr>
          <w:rFonts w:ascii="Times New Roman" w:hAnsi="Times New Roman" w:eastAsia="仿宋" w:cstheme="minorBidi"/>
          <w:bCs/>
          <w:kern w:val="0"/>
          <w:sz w:val="32"/>
          <w:szCs w:val="32"/>
        </w:rPr>
        <w:t>提交进入</w:t>
      </w:r>
      <w:r>
        <w:rPr>
          <w:rFonts w:hint="eastAsia" w:ascii="Times New Roman" w:hAnsi="Times New Roman" w:eastAsia="仿宋" w:cstheme="minorBidi"/>
          <w:bCs/>
          <w:kern w:val="0"/>
          <w:sz w:val="32"/>
          <w:szCs w:val="32"/>
        </w:rPr>
        <w:t>创新层的材料。</w:t>
      </w:r>
    </w:p>
    <w:p>
      <w:pPr>
        <w:spacing w:line="600" w:lineRule="exact"/>
        <w:ind w:firstLine="640" w:firstLineChars="200"/>
        <w:rPr>
          <w:rFonts w:ascii="仿宋" w:hAnsi="仿宋" w:eastAsia="仿宋" w:cstheme="minorBidi"/>
          <w:bCs/>
          <w:kern w:val="0"/>
          <w:sz w:val="32"/>
          <w:szCs w:val="32"/>
        </w:rPr>
      </w:pPr>
      <w:r>
        <w:rPr>
          <w:rFonts w:hint="eastAsia" w:ascii="黑体" w:hAnsi="黑体" w:eastAsia="黑体" w:cstheme="minorBidi"/>
          <w:bCs/>
          <w:kern w:val="0"/>
          <w:sz w:val="32"/>
          <w:szCs w:val="32"/>
        </w:rPr>
        <w:t>第</w:t>
      </w:r>
      <w:r>
        <w:rPr>
          <w:rFonts w:ascii="黑体" w:hAnsi="黑体" w:eastAsia="黑体" w:cstheme="minorBidi"/>
          <w:bCs/>
          <w:kern w:val="0"/>
          <w:sz w:val="32"/>
          <w:szCs w:val="32"/>
        </w:rPr>
        <w:t>十六</w:t>
      </w:r>
      <w:r>
        <w:rPr>
          <w:rFonts w:hint="eastAsia" w:ascii="黑体" w:hAnsi="黑体" w:eastAsia="黑体" w:cstheme="minorBidi"/>
          <w:bCs/>
          <w:kern w:val="0"/>
          <w:sz w:val="32"/>
          <w:szCs w:val="32"/>
        </w:rPr>
        <w:t>条</w:t>
      </w:r>
      <w:r>
        <w:rPr>
          <w:rFonts w:ascii="仿宋" w:hAnsi="仿宋" w:eastAsia="仿宋"/>
          <w:b/>
          <w:kern w:val="0"/>
          <w:sz w:val="32"/>
        </w:rPr>
        <w:t xml:space="preserve">  </w:t>
      </w:r>
      <w:r>
        <w:rPr>
          <w:rFonts w:hint="eastAsia" w:ascii="仿宋" w:hAnsi="仿宋" w:eastAsia="仿宋" w:cstheme="minorBidi"/>
          <w:bCs/>
          <w:kern w:val="0"/>
          <w:sz w:val="32"/>
          <w:szCs w:val="32"/>
        </w:rPr>
        <w:t>主办券商为挂牌公司提交进入创新层的</w:t>
      </w:r>
      <w:r>
        <w:rPr>
          <w:rFonts w:ascii="仿宋" w:hAnsi="仿宋" w:eastAsia="仿宋" w:cstheme="minorBidi"/>
          <w:bCs/>
          <w:kern w:val="0"/>
          <w:sz w:val="32"/>
          <w:szCs w:val="32"/>
        </w:rPr>
        <w:t>材料</w:t>
      </w:r>
      <w:r>
        <w:rPr>
          <w:rFonts w:hint="eastAsia" w:ascii="仿宋" w:hAnsi="仿宋" w:eastAsia="仿宋" w:cstheme="minorBidi"/>
          <w:bCs/>
          <w:kern w:val="0"/>
          <w:sz w:val="32"/>
          <w:szCs w:val="32"/>
        </w:rPr>
        <w:t>前，应当核查其是否符合本办法第</w:t>
      </w:r>
      <w:r>
        <w:rPr>
          <w:rFonts w:ascii="仿宋" w:hAnsi="仿宋" w:eastAsia="仿宋" w:cstheme="minorBidi"/>
          <w:bCs/>
          <w:kern w:val="0"/>
          <w:sz w:val="32"/>
          <w:szCs w:val="32"/>
        </w:rPr>
        <w:t>七</w:t>
      </w:r>
      <w:r>
        <w:rPr>
          <w:rFonts w:hint="eastAsia" w:ascii="仿宋" w:hAnsi="仿宋" w:eastAsia="仿宋" w:cstheme="minorBidi"/>
          <w:bCs/>
          <w:kern w:val="0"/>
          <w:sz w:val="32"/>
          <w:szCs w:val="32"/>
        </w:rPr>
        <w:t>条至第十条的规定。</w:t>
      </w:r>
      <w:r>
        <w:rPr>
          <w:rFonts w:ascii="仿宋" w:hAnsi="仿宋" w:eastAsia="仿宋" w:cstheme="minorBidi"/>
          <w:bCs/>
          <w:kern w:val="0"/>
          <w:sz w:val="32"/>
          <w:szCs w:val="32"/>
        </w:rPr>
        <w:t xml:space="preserve"> </w:t>
      </w:r>
    </w:p>
    <w:p>
      <w:pPr>
        <w:spacing w:line="600" w:lineRule="exact"/>
        <w:ind w:firstLine="640" w:firstLineChars="200"/>
        <w:rPr>
          <w:rFonts w:ascii="仿宋" w:hAnsi="仿宋" w:eastAsia="仿宋" w:cstheme="minorBidi"/>
          <w:bCs/>
          <w:kern w:val="0"/>
          <w:sz w:val="32"/>
          <w:szCs w:val="32"/>
        </w:rPr>
      </w:pPr>
      <w:r>
        <w:rPr>
          <w:rFonts w:hint="eastAsia" w:ascii="仿宋" w:hAnsi="仿宋" w:eastAsia="仿宋" w:cstheme="minorBidi"/>
          <w:bCs/>
          <w:kern w:val="0"/>
          <w:sz w:val="32"/>
          <w:szCs w:val="32"/>
        </w:rPr>
        <w:t>仅根据本办法第</w:t>
      </w:r>
      <w:r>
        <w:rPr>
          <w:rFonts w:ascii="仿宋" w:hAnsi="仿宋" w:eastAsia="仿宋" w:cstheme="minorBidi"/>
          <w:bCs/>
          <w:kern w:val="0"/>
          <w:sz w:val="32"/>
          <w:szCs w:val="32"/>
        </w:rPr>
        <w:t>七</w:t>
      </w:r>
      <w:r>
        <w:rPr>
          <w:rFonts w:hint="eastAsia" w:ascii="仿宋" w:hAnsi="仿宋" w:eastAsia="仿宋" w:cstheme="minorBidi"/>
          <w:bCs/>
          <w:kern w:val="0"/>
          <w:sz w:val="32"/>
          <w:szCs w:val="32"/>
        </w:rPr>
        <w:t xml:space="preserve">条第三项进入创新层的挂牌公司，应当披露符合相关条件的公告和会计师事务所的专项意见，充分说明研发费用归集范围及相关会计处理的合理性。 </w:t>
      </w:r>
    </w:p>
    <w:p>
      <w:pPr>
        <w:spacing w:line="600" w:lineRule="exact"/>
        <w:ind w:firstLine="640" w:firstLineChars="200"/>
        <w:rPr>
          <w:rFonts w:ascii="仿宋" w:hAnsi="仿宋" w:eastAsia="仿宋" w:cstheme="minorBidi"/>
          <w:bCs/>
          <w:kern w:val="0"/>
          <w:sz w:val="32"/>
          <w:szCs w:val="32"/>
        </w:rPr>
      </w:pPr>
      <w:r>
        <w:rPr>
          <w:rFonts w:hint="eastAsia" w:ascii="黑体" w:hAnsi="黑体" w:eastAsia="黑体" w:cstheme="minorBidi"/>
          <w:bCs/>
          <w:kern w:val="0"/>
          <w:sz w:val="32"/>
          <w:szCs w:val="32"/>
        </w:rPr>
        <w:t>第</w:t>
      </w:r>
      <w:r>
        <w:rPr>
          <w:rFonts w:ascii="黑体" w:hAnsi="黑体" w:eastAsia="黑体" w:cstheme="minorBidi"/>
          <w:bCs/>
          <w:kern w:val="0"/>
          <w:sz w:val="32"/>
          <w:szCs w:val="32"/>
        </w:rPr>
        <w:t>十七</w:t>
      </w:r>
      <w:r>
        <w:rPr>
          <w:rFonts w:hint="eastAsia" w:ascii="黑体" w:hAnsi="黑体" w:eastAsia="黑体" w:cstheme="minorBidi"/>
          <w:bCs/>
          <w:kern w:val="0"/>
          <w:sz w:val="32"/>
          <w:szCs w:val="32"/>
        </w:rPr>
        <w:t>条</w:t>
      </w:r>
      <w:r>
        <w:rPr>
          <w:rFonts w:ascii="仿宋" w:hAnsi="仿宋" w:eastAsia="仿宋"/>
          <w:b/>
          <w:kern w:val="0"/>
          <w:sz w:val="32"/>
        </w:rPr>
        <w:t xml:space="preserve">  </w:t>
      </w:r>
      <w:r>
        <w:rPr>
          <w:rFonts w:hint="eastAsia" w:ascii="仿宋" w:hAnsi="仿宋" w:eastAsia="仿宋" w:cstheme="minorBidi"/>
          <w:bCs/>
          <w:kern w:val="0"/>
          <w:sz w:val="32"/>
          <w:szCs w:val="32"/>
        </w:rPr>
        <w:t>挂牌公司存在资金占用、违规对外担保或者权益被控股股东、实际控制人严重损害</w:t>
      </w:r>
      <w:r>
        <w:rPr>
          <w:rFonts w:ascii="仿宋" w:hAnsi="仿宋" w:eastAsia="仿宋" w:cstheme="minorBidi"/>
          <w:bCs/>
          <w:kern w:val="0"/>
          <w:sz w:val="32"/>
          <w:szCs w:val="32"/>
        </w:rPr>
        <w:t>等</w:t>
      </w:r>
      <w:r>
        <w:rPr>
          <w:rFonts w:hint="eastAsia" w:ascii="仿宋" w:hAnsi="仿宋" w:eastAsia="仿宋" w:cstheme="minorBidi"/>
          <w:bCs/>
          <w:kern w:val="0"/>
          <w:sz w:val="32"/>
          <w:szCs w:val="32"/>
        </w:rPr>
        <w:t>情形的，主办券商应当在相关情形已完成整改、消除影响后，为其提交进入创新层的</w:t>
      </w:r>
      <w:r>
        <w:rPr>
          <w:rFonts w:ascii="仿宋" w:hAnsi="仿宋" w:eastAsia="仿宋" w:cstheme="minorBidi"/>
          <w:bCs/>
          <w:kern w:val="0"/>
          <w:sz w:val="32"/>
          <w:szCs w:val="32"/>
        </w:rPr>
        <w:t>材料</w:t>
      </w:r>
      <w:r>
        <w:rPr>
          <w:rFonts w:hint="eastAsia" w:ascii="仿宋" w:hAnsi="仿宋" w:eastAsia="仿宋" w:cstheme="minorBidi"/>
          <w:bCs/>
          <w:kern w:val="0"/>
          <w:sz w:val="32"/>
          <w:szCs w:val="32"/>
        </w:rPr>
        <w:t>。</w:t>
      </w:r>
    </w:p>
    <w:p>
      <w:pPr>
        <w:spacing w:line="600" w:lineRule="exact"/>
        <w:ind w:firstLine="640" w:firstLineChars="200"/>
        <w:rPr>
          <w:rFonts w:ascii="仿宋" w:hAnsi="仿宋" w:eastAsia="仿宋" w:cstheme="minorBidi"/>
          <w:bCs/>
          <w:kern w:val="0"/>
          <w:sz w:val="32"/>
          <w:szCs w:val="32"/>
        </w:rPr>
      </w:pPr>
      <w:r>
        <w:rPr>
          <w:rFonts w:hint="eastAsia" w:ascii="黑体" w:hAnsi="黑体" w:eastAsia="黑体" w:cstheme="minorBidi"/>
          <w:bCs/>
          <w:kern w:val="0"/>
          <w:sz w:val="32"/>
          <w:szCs w:val="32"/>
        </w:rPr>
        <w:t>第十八条</w:t>
      </w:r>
      <w:r>
        <w:rPr>
          <w:rFonts w:ascii="仿宋" w:hAnsi="仿宋" w:eastAsia="仿宋"/>
          <w:b/>
          <w:kern w:val="0"/>
          <w:sz w:val="32"/>
        </w:rPr>
        <w:t xml:space="preserve">  </w:t>
      </w:r>
      <w:r>
        <w:rPr>
          <w:rFonts w:ascii="Times New Roman" w:hAnsi="Times New Roman" w:eastAsia="仿宋" w:cstheme="minorBidi"/>
          <w:bCs/>
          <w:kern w:val="0"/>
          <w:sz w:val="32"/>
          <w:szCs w:val="32"/>
        </w:rPr>
        <w:t>全国股转公司</w:t>
      </w:r>
      <w:r>
        <w:rPr>
          <w:rFonts w:hint="eastAsia" w:ascii="仿宋" w:hAnsi="仿宋" w:eastAsia="仿宋" w:cstheme="minorBidi"/>
          <w:bCs/>
          <w:kern w:val="0"/>
          <w:sz w:val="32"/>
          <w:szCs w:val="32"/>
        </w:rPr>
        <w:t>要求挂牌公司及其董事、监事、高级管理人员、股东、实际控制人对有关事项作出解释、说明、更正和补充，要求主办券商、会计师事务所、律师事务所、其他证券服务机构进行核查的，</w:t>
      </w:r>
      <w:r>
        <w:rPr>
          <w:rFonts w:ascii="仿宋" w:hAnsi="仿宋" w:eastAsia="仿宋" w:cstheme="minorBidi"/>
          <w:bCs/>
          <w:kern w:val="0"/>
          <w:sz w:val="32"/>
          <w:szCs w:val="32"/>
        </w:rPr>
        <w:t>在有明确结论意见前</w:t>
      </w:r>
      <w:r>
        <w:rPr>
          <w:rFonts w:hint="eastAsia" w:ascii="仿宋" w:hAnsi="仿宋" w:eastAsia="仿宋" w:cstheme="minorBidi"/>
          <w:bCs/>
          <w:kern w:val="0"/>
          <w:sz w:val="32"/>
          <w:szCs w:val="32"/>
        </w:rPr>
        <w:t>，暂</w:t>
      </w:r>
      <w:r>
        <w:rPr>
          <w:rFonts w:ascii="仿宋" w:hAnsi="仿宋" w:eastAsia="仿宋" w:cstheme="minorBidi"/>
          <w:bCs/>
          <w:kern w:val="0"/>
          <w:sz w:val="32"/>
          <w:szCs w:val="32"/>
        </w:rPr>
        <w:t>不</w:t>
      </w:r>
      <w:r>
        <w:rPr>
          <w:rFonts w:hint="eastAsia" w:ascii="仿宋" w:hAnsi="仿宋" w:eastAsia="仿宋" w:cstheme="minorBidi"/>
          <w:bCs/>
          <w:kern w:val="0"/>
          <w:sz w:val="32"/>
          <w:szCs w:val="32"/>
        </w:rPr>
        <w:t>将其</w:t>
      </w:r>
      <w:r>
        <w:rPr>
          <w:rFonts w:ascii="仿宋" w:hAnsi="仿宋" w:eastAsia="仿宋" w:cstheme="minorBidi"/>
          <w:bCs/>
          <w:kern w:val="0"/>
          <w:sz w:val="32"/>
          <w:szCs w:val="32"/>
        </w:rPr>
        <w:t>调入创新层</w:t>
      </w:r>
      <w:r>
        <w:rPr>
          <w:rFonts w:hint="eastAsia" w:ascii="仿宋" w:hAnsi="仿宋" w:eastAsia="仿宋" w:cstheme="minorBidi"/>
          <w:bCs/>
          <w:kern w:val="0"/>
          <w:sz w:val="32"/>
          <w:szCs w:val="32"/>
        </w:rPr>
        <w:t>。</w:t>
      </w:r>
    </w:p>
    <w:p>
      <w:pPr>
        <w:spacing w:line="600" w:lineRule="exact"/>
        <w:ind w:firstLine="640" w:firstLineChars="200"/>
        <w:rPr>
          <w:rFonts w:ascii="Times New Roman" w:hAnsi="Times New Roman" w:eastAsia="仿宋" w:cstheme="minorBidi"/>
          <w:bCs/>
          <w:kern w:val="0"/>
          <w:sz w:val="32"/>
          <w:szCs w:val="32"/>
        </w:rPr>
      </w:pPr>
      <w:r>
        <w:rPr>
          <w:rFonts w:hint="eastAsia" w:ascii="黑体" w:hAnsi="黑体" w:eastAsia="黑体" w:cstheme="minorBidi"/>
          <w:bCs/>
          <w:kern w:val="0"/>
          <w:sz w:val="32"/>
          <w:szCs w:val="32"/>
        </w:rPr>
        <w:t>第</w:t>
      </w:r>
      <w:r>
        <w:rPr>
          <w:rFonts w:ascii="黑体" w:hAnsi="黑体" w:eastAsia="黑体" w:cstheme="minorBidi"/>
          <w:bCs/>
          <w:kern w:val="0"/>
          <w:sz w:val="32"/>
          <w:szCs w:val="32"/>
        </w:rPr>
        <w:t>十九条</w:t>
      </w:r>
      <w:r>
        <w:rPr>
          <w:rFonts w:ascii="仿宋" w:hAnsi="仿宋" w:eastAsia="仿宋"/>
          <w:b/>
          <w:kern w:val="0"/>
          <w:sz w:val="32"/>
        </w:rPr>
        <w:t xml:space="preserve">  </w:t>
      </w:r>
      <w:r>
        <w:rPr>
          <w:rFonts w:hint="eastAsia" w:ascii="Times New Roman" w:hAnsi="Times New Roman" w:eastAsia="仿宋" w:cstheme="minorBidi"/>
          <w:bCs/>
          <w:kern w:val="0"/>
          <w:sz w:val="32"/>
          <w:szCs w:val="32"/>
        </w:rPr>
        <w:t>挂牌</w:t>
      </w:r>
      <w:r>
        <w:rPr>
          <w:rFonts w:ascii="Times New Roman" w:hAnsi="Times New Roman" w:eastAsia="仿宋" w:cstheme="minorBidi"/>
          <w:bCs/>
          <w:kern w:val="0"/>
          <w:sz w:val="32"/>
          <w:szCs w:val="32"/>
        </w:rPr>
        <w:t>公司</w:t>
      </w:r>
      <w:r>
        <w:rPr>
          <w:rFonts w:hint="eastAsia" w:ascii="Times New Roman" w:hAnsi="Times New Roman" w:eastAsia="仿宋" w:cstheme="minorBidi"/>
          <w:bCs/>
          <w:kern w:val="0"/>
          <w:sz w:val="32"/>
          <w:szCs w:val="32"/>
        </w:rPr>
        <w:t>正式</w:t>
      </w:r>
      <w:r>
        <w:rPr>
          <w:rFonts w:ascii="Times New Roman" w:hAnsi="Times New Roman" w:eastAsia="仿宋" w:cstheme="minorBidi"/>
          <w:bCs/>
          <w:kern w:val="0"/>
          <w:sz w:val="32"/>
          <w:szCs w:val="32"/>
        </w:rPr>
        <w:t>进</w:t>
      </w:r>
      <w:r>
        <w:rPr>
          <w:rFonts w:hint="eastAsia" w:ascii="Times New Roman" w:hAnsi="Times New Roman" w:eastAsia="仿宋" w:cstheme="minorBidi"/>
          <w:bCs/>
          <w:kern w:val="0"/>
          <w:sz w:val="32"/>
          <w:szCs w:val="32"/>
        </w:rPr>
        <w:t>入创新</w:t>
      </w:r>
      <w:r>
        <w:rPr>
          <w:rFonts w:ascii="Times New Roman" w:hAnsi="Times New Roman" w:eastAsia="仿宋" w:cstheme="minorBidi"/>
          <w:bCs/>
          <w:kern w:val="0"/>
          <w:sz w:val="32"/>
          <w:szCs w:val="32"/>
        </w:rPr>
        <w:t>层前，全国股转公司在全国股转系统</w:t>
      </w:r>
      <w:r>
        <w:rPr>
          <w:rFonts w:hint="eastAsia" w:ascii="Times New Roman" w:hAnsi="Times New Roman" w:eastAsia="仿宋" w:cstheme="minorBidi"/>
          <w:bCs/>
          <w:kern w:val="0"/>
          <w:sz w:val="32"/>
          <w:szCs w:val="32"/>
        </w:rPr>
        <w:t>网站</w:t>
      </w:r>
      <w:r>
        <w:rPr>
          <w:rFonts w:ascii="Times New Roman" w:hAnsi="Times New Roman" w:eastAsia="仿宋" w:cstheme="minorBidi"/>
          <w:bCs/>
          <w:kern w:val="0"/>
          <w:sz w:val="32"/>
          <w:szCs w:val="32"/>
        </w:rPr>
        <w:t>公示</w:t>
      </w:r>
      <w:r>
        <w:rPr>
          <w:rFonts w:hint="eastAsia" w:ascii="Times New Roman" w:hAnsi="Times New Roman" w:eastAsia="仿宋" w:cstheme="minorBidi"/>
          <w:bCs/>
          <w:kern w:val="0"/>
          <w:sz w:val="32"/>
          <w:szCs w:val="32"/>
        </w:rPr>
        <w:t>拟进层</w:t>
      </w:r>
      <w:r>
        <w:rPr>
          <w:rFonts w:ascii="Times New Roman" w:hAnsi="Times New Roman" w:eastAsia="仿宋" w:cstheme="minorBidi"/>
          <w:bCs/>
          <w:kern w:val="0"/>
          <w:sz w:val="32"/>
          <w:szCs w:val="32"/>
        </w:rPr>
        <w:t>的公司名单。挂牌公司在名单公示后</w:t>
      </w:r>
      <w:r>
        <w:rPr>
          <w:rFonts w:hint="eastAsia" w:ascii="Times New Roman" w:hAnsi="Times New Roman" w:eastAsia="仿宋" w:cstheme="minorBidi"/>
          <w:bCs/>
          <w:kern w:val="0"/>
          <w:sz w:val="32"/>
          <w:szCs w:val="32"/>
        </w:rPr>
        <w:t>的</w:t>
      </w:r>
      <w:r>
        <w:rPr>
          <w:rFonts w:ascii="Times New Roman" w:hAnsi="Times New Roman" w:eastAsia="仿宋" w:cstheme="minorBidi"/>
          <w:kern w:val="0"/>
          <w:sz w:val="32"/>
          <w:szCs w:val="32"/>
        </w:rPr>
        <w:t>2</w:t>
      </w:r>
      <w:r>
        <w:rPr>
          <w:rFonts w:ascii="Times New Roman" w:hAnsi="Times New Roman" w:eastAsia="仿宋" w:cstheme="minorBidi"/>
          <w:bCs/>
          <w:kern w:val="0"/>
          <w:sz w:val="32"/>
          <w:szCs w:val="32"/>
        </w:rPr>
        <w:t>个交易日内，可以事实认定有误为由申请异议。</w:t>
      </w:r>
      <w:r>
        <w:rPr>
          <w:rFonts w:hint="eastAsia" w:ascii="Times New Roman" w:hAnsi="Times New Roman" w:eastAsia="仿宋" w:cstheme="minorBidi"/>
          <w:bCs/>
          <w:kern w:val="0"/>
          <w:sz w:val="32"/>
          <w:szCs w:val="32"/>
        </w:rPr>
        <w:t>全国</w:t>
      </w:r>
      <w:r>
        <w:rPr>
          <w:rFonts w:ascii="Times New Roman" w:hAnsi="Times New Roman" w:eastAsia="仿宋" w:cstheme="minorBidi"/>
          <w:bCs/>
          <w:kern w:val="0"/>
          <w:sz w:val="32"/>
          <w:szCs w:val="32"/>
        </w:rPr>
        <w:t>股转公司</w:t>
      </w:r>
      <w:r>
        <w:rPr>
          <w:rFonts w:hint="eastAsia" w:ascii="Times New Roman" w:hAnsi="Times New Roman" w:eastAsia="仿宋" w:cstheme="minorBidi"/>
          <w:bCs/>
          <w:kern w:val="0"/>
          <w:sz w:val="32"/>
          <w:szCs w:val="32"/>
        </w:rPr>
        <w:t>履行相应</w:t>
      </w:r>
      <w:r>
        <w:rPr>
          <w:rFonts w:ascii="Times New Roman" w:hAnsi="Times New Roman" w:eastAsia="仿宋" w:cstheme="minorBidi"/>
          <w:bCs/>
          <w:kern w:val="0"/>
          <w:sz w:val="32"/>
          <w:szCs w:val="32"/>
        </w:rPr>
        <w:t>程序后，</w:t>
      </w:r>
      <w:r>
        <w:rPr>
          <w:rFonts w:hint="eastAsia" w:ascii="Times New Roman" w:hAnsi="Times New Roman" w:eastAsia="仿宋" w:cstheme="minorBidi"/>
          <w:bCs/>
          <w:kern w:val="0"/>
          <w:sz w:val="32"/>
          <w:szCs w:val="32"/>
        </w:rPr>
        <w:t>作出进层</w:t>
      </w:r>
      <w:r>
        <w:rPr>
          <w:rFonts w:ascii="Times New Roman" w:hAnsi="Times New Roman" w:eastAsia="仿宋" w:cstheme="minorBidi"/>
          <w:bCs/>
          <w:kern w:val="0"/>
          <w:sz w:val="32"/>
          <w:szCs w:val="32"/>
        </w:rPr>
        <w:t>决定</w:t>
      </w:r>
      <w:r>
        <w:rPr>
          <w:rFonts w:hint="eastAsia" w:ascii="Times New Roman" w:hAnsi="Times New Roman" w:eastAsia="仿宋" w:cstheme="minorBidi"/>
          <w:bCs/>
          <w:kern w:val="0"/>
          <w:sz w:val="32"/>
          <w:szCs w:val="32"/>
        </w:rPr>
        <w:t>并公告。</w:t>
      </w:r>
    </w:p>
    <w:p>
      <w:pPr>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bCs/>
          <w:kern w:val="0"/>
          <w:sz w:val="32"/>
          <w:szCs w:val="32"/>
        </w:rPr>
        <w:t>挂牌</w:t>
      </w:r>
      <w:r>
        <w:rPr>
          <w:rFonts w:ascii="Times New Roman" w:hAnsi="Times New Roman" w:eastAsia="仿宋" w:cstheme="minorBidi"/>
          <w:bCs/>
          <w:kern w:val="0"/>
          <w:sz w:val="32"/>
          <w:szCs w:val="32"/>
        </w:rPr>
        <w:t>公司进入创新层</w:t>
      </w:r>
      <w:r>
        <w:rPr>
          <w:rFonts w:hint="eastAsia" w:ascii="Times New Roman" w:hAnsi="Times New Roman" w:eastAsia="仿宋" w:cstheme="minorBidi"/>
          <w:bCs/>
          <w:kern w:val="0"/>
          <w:sz w:val="32"/>
          <w:szCs w:val="32"/>
        </w:rPr>
        <w:t>按规定</w:t>
      </w:r>
      <w:r>
        <w:rPr>
          <w:rFonts w:ascii="Times New Roman" w:hAnsi="Times New Roman" w:eastAsia="仿宋" w:cstheme="minorBidi"/>
          <w:bCs/>
          <w:kern w:val="0"/>
          <w:sz w:val="32"/>
          <w:szCs w:val="32"/>
        </w:rPr>
        <w:t>应当由</w:t>
      </w:r>
      <w:r>
        <w:rPr>
          <w:rFonts w:hint="eastAsia" w:ascii="Times New Roman" w:hAnsi="Times New Roman" w:eastAsia="仿宋" w:cstheme="minorBidi"/>
          <w:bCs/>
          <w:kern w:val="0"/>
          <w:sz w:val="32"/>
          <w:szCs w:val="32"/>
        </w:rPr>
        <w:t>全国</w:t>
      </w:r>
      <w:r>
        <w:rPr>
          <w:rFonts w:ascii="Times New Roman" w:hAnsi="Times New Roman" w:eastAsia="仿宋" w:cstheme="minorBidi"/>
          <w:bCs/>
          <w:kern w:val="0"/>
          <w:sz w:val="32"/>
          <w:szCs w:val="32"/>
        </w:rPr>
        <w:t>股转</w:t>
      </w:r>
      <w:r>
        <w:rPr>
          <w:rFonts w:hint="eastAsia" w:ascii="Times New Roman" w:hAnsi="Times New Roman" w:eastAsia="仿宋" w:cstheme="minorBidi"/>
          <w:bCs/>
          <w:kern w:val="0"/>
          <w:sz w:val="32"/>
          <w:szCs w:val="32"/>
        </w:rPr>
        <w:t>系统</w:t>
      </w:r>
      <w:r>
        <w:rPr>
          <w:rFonts w:ascii="Times New Roman" w:hAnsi="Times New Roman" w:eastAsia="仿宋" w:cstheme="minorBidi"/>
          <w:bCs/>
          <w:kern w:val="0"/>
          <w:sz w:val="32"/>
          <w:szCs w:val="32"/>
        </w:rPr>
        <w:t>挂牌委员会</w:t>
      </w:r>
      <w:r>
        <w:rPr>
          <w:rFonts w:hint="eastAsia" w:ascii="Times New Roman" w:hAnsi="Times New Roman" w:eastAsia="仿宋" w:cstheme="minorBidi"/>
          <w:bCs/>
          <w:kern w:val="0"/>
          <w:sz w:val="32"/>
          <w:szCs w:val="32"/>
        </w:rPr>
        <w:t>（以下</w:t>
      </w:r>
      <w:r>
        <w:rPr>
          <w:rFonts w:ascii="Times New Roman" w:hAnsi="Times New Roman" w:eastAsia="仿宋" w:cstheme="minorBidi"/>
          <w:bCs/>
          <w:kern w:val="0"/>
          <w:sz w:val="32"/>
          <w:szCs w:val="32"/>
        </w:rPr>
        <w:t>简称挂牌委）审议</w:t>
      </w:r>
      <w:r>
        <w:rPr>
          <w:rFonts w:hint="eastAsia" w:ascii="Times New Roman" w:hAnsi="Times New Roman" w:eastAsia="仿宋" w:cstheme="minorBidi"/>
          <w:bCs/>
          <w:kern w:val="0"/>
          <w:sz w:val="32"/>
          <w:szCs w:val="32"/>
        </w:rPr>
        <w:t>的</w:t>
      </w:r>
      <w:r>
        <w:rPr>
          <w:rFonts w:ascii="Times New Roman" w:hAnsi="Times New Roman" w:eastAsia="仿宋" w:cstheme="minorBidi"/>
          <w:bCs/>
          <w:kern w:val="0"/>
          <w:sz w:val="32"/>
          <w:szCs w:val="32"/>
        </w:rPr>
        <w:t>，全国股转公司</w:t>
      </w:r>
      <w:r>
        <w:rPr>
          <w:rFonts w:hint="eastAsia" w:ascii="Times New Roman" w:hAnsi="Times New Roman" w:eastAsia="仿宋" w:cstheme="minorBidi"/>
          <w:bCs/>
          <w:kern w:val="0"/>
          <w:sz w:val="32"/>
          <w:szCs w:val="32"/>
        </w:rPr>
        <w:t>结合</w:t>
      </w:r>
      <w:r>
        <w:rPr>
          <w:rFonts w:ascii="Times New Roman" w:hAnsi="Times New Roman" w:eastAsia="仿宋" w:cstheme="minorBidi"/>
          <w:bCs/>
          <w:kern w:val="0"/>
          <w:sz w:val="32"/>
          <w:szCs w:val="32"/>
        </w:rPr>
        <w:t>挂牌委审议</w:t>
      </w:r>
      <w:r>
        <w:rPr>
          <w:rFonts w:hint="eastAsia" w:ascii="Times New Roman" w:hAnsi="Times New Roman" w:eastAsia="仿宋" w:cstheme="minorBidi"/>
          <w:bCs/>
          <w:kern w:val="0"/>
          <w:sz w:val="32"/>
          <w:szCs w:val="32"/>
        </w:rPr>
        <w:t>意见，</w:t>
      </w:r>
      <w:r>
        <w:rPr>
          <w:rFonts w:ascii="Times New Roman" w:hAnsi="Times New Roman" w:eastAsia="仿宋" w:cstheme="minorBidi"/>
          <w:bCs/>
          <w:kern w:val="0"/>
          <w:sz w:val="32"/>
          <w:szCs w:val="32"/>
        </w:rPr>
        <w:t>作出进层决定。</w:t>
      </w:r>
    </w:p>
    <w:p>
      <w:pPr>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bCs/>
          <w:kern w:val="0"/>
          <w:sz w:val="32"/>
          <w:szCs w:val="32"/>
        </w:rPr>
        <w:t>挂牌公司</w:t>
      </w:r>
      <w:r>
        <w:rPr>
          <w:rFonts w:ascii="Times New Roman" w:hAnsi="Times New Roman" w:eastAsia="仿宋" w:cstheme="minorBidi"/>
          <w:bCs/>
          <w:kern w:val="0"/>
          <w:sz w:val="32"/>
          <w:szCs w:val="32"/>
        </w:rPr>
        <w:t>对</w:t>
      </w:r>
      <w:r>
        <w:rPr>
          <w:rFonts w:hint="eastAsia" w:ascii="Times New Roman" w:hAnsi="Times New Roman" w:eastAsia="仿宋" w:cstheme="minorBidi"/>
          <w:bCs/>
          <w:kern w:val="0"/>
          <w:sz w:val="32"/>
          <w:szCs w:val="32"/>
        </w:rPr>
        <w:t>进层</w:t>
      </w:r>
      <w:r>
        <w:rPr>
          <w:rFonts w:ascii="Times New Roman" w:hAnsi="Times New Roman" w:eastAsia="仿宋" w:cstheme="minorBidi"/>
          <w:bCs/>
          <w:kern w:val="0"/>
          <w:sz w:val="32"/>
          <w:szCs w:val="32"/>
        </w:rPr>
        <w:t>决定</w:t>
      </w:r>
      <w:r>
        <w:rPr>
          <w:rFonts w:hint="eastAsia" w:ascii="Times New Roman" w:hAnsi="Times New Roman" w:eastAsia="仿宋" w:cstheme="minorBidi"/>
          <w:bCs/>
          <w:kern w:val="0"/>
          <w:sz w:val="32"/>
          <w:szCs w:val="32"/>
        </w:rPr>
        <w:t>存在</w:t>
      </w:r>
      <w:r>
        <w:rPr>
          <w:rFonts w:ascii="Times New Roman" w:hAnsi="Times New Roman" w:eastAsia="仿宋" w:cstheme="minorBidi"/>
          <w:bCs/>
          <w:kern w:val="0"/>
          <w:sz w:val="32"/>
          <w:szCs w:val="32"/>
        </w:rPr>
        <w:t>异议的，</w:t>
      </w:r>
      <w:r>
        <w:rPr>
          <w:rFonts w:hint="eastAsia" w:ascii="Times New Roman" w:hAnsi="Times New Roman" w:eastAsia="仿宋" w:cstheme="minorBidi"/>
          <w:bCs/>
          <w:kern w:val="0"/>
          <w:sz w:val="32"/>
          <w:szCs w:val="32"/>
        </w:rPr>
        <w:t>可以</w:t>
      </w:r>
      <w:r>
        <w:rPr>
          <w:rFonts w:ascii="Times New Roman" w:hAnsi="Times New Roman" w:eastAsia="仿宋" w:cstheme="minorBidi"/>
          <w:bCs/>
          <w:kern w:val="0"/>
          <w:sz w:val="32"/>
          <w:szCs w:val="32"/>
        </w:rPr>
        <w:t>自</w:t>
      </w:r>
      <w:r>
        <w:rPr>
          <w:rFonts w:hint="eastAsia" w:ascii="Times New Roman" w:hAnsi="Times New Roman" w:eastAsia="仿宋" w:cstheme="minorBidi"/>
          <w:bCs/>
          <w:kern w:val="0"/>
          <w:sz w:val="32"/>
          <w:szCs w:val="32"/>
        </w:rPr>
        <w:t>决定</w:t>
      </w:r>
      <w:r>
        <w:rPr>
          <w:rFonts w:ascii="Times New Roman" w:hAnsi="Times New Roman" w:eastAsia="仿宋" w:cstheme="minorBidi"/>
          <w:bCs/>
          <w:kern w:val="0"/>
          <w:sz w:val="32"/>
          <w:szCs w:val="32"/>
        </w:rPr>
        <w:t>公告</w:t>
      </w:r>
      <w:r>
        <w:rPr>
          <w:rFonts w:hint="eastAsia" w:ascii="Times New Roman" w:hAnsi="Times New Roman" w:eastAsia="仿宋" w:cstheme="minorBidi"/>
          <w:bCs/>
          <w:kern w:val="0"/>
          <w:sz w:val="32"/>
          <w:szCs w:val="32"/>
        </w:rPr>
        <w:t>之日起</w:t>
      </w:r>
      <w:r>
        <w:rPr>
          <w:rFonts w:ascii="Times New Roman" w:hAnsi="Times New Roman" w:eastAsia="仿宋" w:cstheme="minorBidi"/>
          <w:bCs/>
          <w:kern w:val="0"/>
          <w:sz w:val="32"/>
          <w:szCs w:val="32"/>
        </w:rPr>
        <w:t>5</w:t>
      </w:r>
      <w:r>
        <w:rPr>
          <w:rFonts w:hint="eastAsia" w:ascii="Times New Roman" w:hAnsi="Times New Roman" w:eastAsia="仿宋" w:cstheme="minorBidi"/>
          <w:bCs/>
          <w:kern w:val="0"/>
          <w:sz w:val="32"/>
          <w:szCs w:val="32"/>
        </w:rPr>
        <w:t>个交易日内申请复核。复核期间，全国股转公司作出的进层决定不停止执行。</w:t>
      </w:r>
    </w:p>
    <w:p>
      <w:pPr>
        <w:spacing w:line="600" w:lineRule="exact"/>
        <w:ind w:firstLine="640" w:firstLineChars="200"/>
        <w:rPr>
          <w:rFonts w:ascii="Times New Roman" w:hAnsi="Times New Roman" w:eastAsia="仿宋" w:cstheme="minorBidi"/>
          <w:bCs/>
          <w:kern w:val="0"/>
          <w:sz w:val="32"/>
          <w:szCs w:val="32"/>
        </w:rPr>
      </w:pPr>
      <w:r>
        <w:rPr>
          <w:rFonts w:ascii="黑体" w:hAnsi="黑体" w:eastAsia="黑体" w:cstheme="minorBidi"/>
          <w:bCs/>
          <w:kern w:val="0"/>
          <w:sz w:val="32"/>
          <w:szCs w:val="32"/>
        </w:rPr>
        <w:t>第</w:t>
      </w:r>
      <w:r>
        <w:rPr>
          <w:rFonts w:hint="eastAsia" w:ascii="黑体" w:hAnsi="黑体" w:eastAsia="黑体" w:cstheme="minorBidi"/>
          <w:bCs/>
          <w:kern w:val="0"/>
          <w:sz w:val="32"/>
          <w:szCs w:val="32"/>
        </w:rPr>
        <w:t>二十</w:t>
      </w:r>
      <w:r>
        <w:rPr>
          <w:rFonts w:ascii="黑体" w:hAnsi="黑体" w:eastAsia="黑体" w:cstheme="minorBidi"/>
          <w:bCs/>
          <w:kern w:val="0"/>
          <w:sz w:val="32"/>
          <w:szCs w:val="32"/>
        </w:rPr>
        <w:t>条</w:t>
      </w:r>
      <w:r>
        <w:rPr>
          <w:rFonts w:ascii="仿宋" w:hAnsi="仿宋" w:eastAsia="仿宋"/>
          <w:b/>
          <w:kern w:val="0"/>
          <w:sz w:val="32"/>
        </w:rPr>
        <w:t xml:space="preserve">  </w:t>
      </w:r>
      <w:r>
        <w:rPr>
          <w:rFonts w:ascii="Times New Roman" w:hAnsi="Times New Roman" w:eastAsia="仿宋" w:cstheme="minorBidi"/>
          <w:bCs/>
          <w:kern w:val="0"/>
          <w:sz w:val="32"/>
          <w:szCs w:val="32"/>
        </w:rPr>
        <w:t>创新层挂牌公司出现本办法第</w:t>
      </w:r>
      <w:r>
        <w:rPr>
          <w:rFonts w:hint="eastAsia" w:ascii="Times New Roman" w:hAnsi="Times New Roman" w:eastAsia="仿宋" w:cstheme="minorBidi"/>
          <w:bCs/>
          <w:kern w:val="0"/>
          <w:sz w:val="32"/>
          <w:szCs w:val="32"/>
        </w:rPr>
        <w:t>十</w:t>
      </w:r>
      <w:r>
        <w:rPr>
          <w:rFonts w:ascii="Times New Roman" w:hAnsi="Times New Roman" w:eastAsia="仿宋" w:cstheme="minorBidi"/>
          <w:bCs/>
          <w:kern w:val="0"/>
          <w:sz w:val="32"/>
          <w:szCs w:val="32"/>
        </w:rPr>
        <w:t>四条规定的降层情形的，全国股转公司自该情形认定之日起</w:t>
      </w:r>
      <w:r>
        <w:rPr>
          <w:rFonts w:ascii="Times New Roman" w:hAnsi="Times New Roman" w:eastAsia="仿宋" w:cstheme="minorBidi"/>
          <w:kern w:val="0"/>
          <w:sz w:val="32"/>
          <w:szCs w:val="32"/>
        </w:rPr>
        <w:t>5</w:t>
      </w:r>
      <w:r>
        <w:rPr>
          <w:rFonts w:ascii="Times New Roman" w:hAnsi="Times New Roman" w:eastAsia="仿宋" w:cstheme="minorBidi"/>
          <w:bCs/>
          <w:kern w:val="0"/>
          <w:sz w:val="32"/>
          <w:szCs w:val="32"/>
        </w:rPr>
        <w:t>个交易日内启动</w:t>
      </w:r>
      <w:r>
        <w:rPr>
          <w:rFonts w:hint="eastAsia" w:ascii="Times New Roman" w:hAnsi="Times New Roman" w:eastAsia="仿宋" w:cstheme="minorBidi"/>
          <w:bCs/>
          <w:kern w:val="0"/>
          <w:sz w:val="32"/>
          <w:szCs w:val="32"/>
        </w:rPr>
        <w:t>降层</w:t>
      </w:r>
      <w:r>
        <w:rPr>
          <w:rFonts w:ascii="Times New Roman" w:hAnsi="Times New Roman" w:eastAsia="仿宋" w:cstheme="minorBidi"/>
          <w:bCs/>
          <w:kern w:val="0"/>
          <w:sz w:val="32"/>
          <w:szCs w:val="32"/>
        </w:rPr>
        <w:t>调整工作。</w:t>
      </w:r>
      <w:r>
        <w:rPr>
          <w:rFonts w:hint="eastAsia" w:ascii="Times New Roman" w:hAnsi="Times New Roman" w:eastAsia="仿宋" w:cstheme="minorBidi"/>
          <w:bCs/>
          <w:kern w:val="0"/>
          <w:sz w:val="32"/>
          <w:szCs w:val="32"/>
        </w:rPr>
        <w:t>全国</w:t>
      </w:r>
      <w:r>
        <w:rPr>
          <w:rFonts w:ascii="Times New Roman" w:hAnsi="Times New Roman" w:eastAsia="仿宋" w:cstheme="minorBidi"/>
          <w:bCs/>
          <w:kern w:val="0"/>
          <w:sz w:val="32"/>
          <w:szCs w:val="32"/>
        </w:rPr>
        <w:t>股转公司</w:t>
      </w:r>
      <w:r>
        <w:rPr>
          <w:rFonts w:hint="eastAsia" w:ascii="Times New Roman" w:hAnsi="Times New Roman" w:eastAsia="仿宋" w:cstheme="minorBidi"/>
          <w:bCs/>
          <w:kern w:val="0"/>
          <w:sz w:val="32"/>
          <w:szCs w:val="32"/>
        </w:rPr>
        <w:t>履行相应</w:t>
      </w:r>
      <w:r>
        <w:rPr>
          <w:rFonts w:ascii="Times New Roman" w:hAnsi="Times New Roman" w:eastAsia="仿宋" w:cstheme="minorBidi"/>
          <w:bCs/>
          <w:kern w:val="0"/>
          <w:sz w:val="32"/>
          <w:szCs w:val="32"/>
        </w:rPr>
        <w:t>程序后，</w:t>
      </w:r>
      <w:r>
        <w:rPr>
          <w:rFonts w:hint="eastAsia" w:ascii="Times New Roman" w:hAnsi="Times New Roman" w:eastAsia="仿宋" w:cstheme="minorBidi"/>
          <w:bCs/>
          <w:kern w:val="0"/>
          <w:sz w:val="32"/>
          <w:szCs w:val="32"/>
        </w:rPr>
        <w:t>作出</w:t>
      </w:r>
      <w:r>
        <w:rPr>
          <w:rFonts w:ascii="Times New Roman" w:hAnsi="Times New Roman" w:eastAsia="仿宋" w:cstheme="minorBidi"/>
          <w:bCs/>
          <w:kern w:val="0"/>
          <w:sz w:val="32"/>
          <w:szCs w:val="32"/>
        </w:rPr>
        <w:t>降层调整</w:t>
      </w:r>
      <w:r>
        <w:rPr>
          <w:rFonts w:hint="eastAsia" w:ascii="Times New Roman" w:hAnsi="Times New Roman" w:eastAsia="仿宋" w:cstheme="minorBidi"/>
          <w:bCs/>
          <w:kern w:val="0"/>
          <w:sz w:val="32"/>
          <w:szCs w:val="32"/>
        </w:rPr>
        <w:t>决定并</w:t>
      </w:r>
      <w:r>
        <w:rPr>
          <w:rFonts w:ascii="Times New Roman" w:hAnsi="Times New Roman" w:eastAsia="仿宋" w:cstheme="minorBidi"/>
          <w:bCs/>
          <w:kern w:val="0"/>
          <w:sz w:val="32"/>
          <w:szCs w:val="32"/>
        </w:rPr>
        <w:t>公告。</w:t>
      </w:r>
    </w:p>
    <w:p>
      <w:pPr>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bCs/>
          <w:kern w:val="0"/>
          <w:sz w:val="32"/>
          <w:szCs w:val="32"/>
        </w:rPr>
        <w:t>创新层挂牌</w:t>
      </w:r>
      <w:r>
        <w:rPr>
          <w:rFonts w:ascii="Times New Roman" w:hAnsi="Times New Roman" w:eastAsia="仿宋" w:cstheme="minorBidi"/>
          <w:bCs/>
          <w:kern w:val="0"/>
          <w:sz w:val="32"/>
          <w:szCs w:val="32"/>
        </w:rPr>
        <w:t>公司调整至基础层</w:t>
      </w:r>
      <w:r>
        <w:rPr>
          <w:rFonts w:hint="eastAsia" w:ascii="Times New Roman" w:hAnsi="Times New Roman" w:eastAsia="仿宋" w:cstheme="minorBidi"/>
          <w:bCs/>
          <w:kern w:val="0"/>
          <w:sz w:val="32"/>
          <w:szCs w:val="32"/>
        </w:rPr>
        <w:t>按规定</w:t>
      </w:r>
      <w:r>
        <w:rPr>
          <w:rFonts w:ascii="Times New Roman" w:hAnsi="Times New Roman" w:eastAsia="仿宋" w:cstheme="minorBidi"/>
          <w:bCs/>
          <w:kern w:val="0"/>
          <w:sz w:val="32"/>
          <w:szCs w:val="32"/>
        </w:rPr>
        <w:t>应当由挂牌委审议的，全国股转公司</w:t>
      </w:r>
      <w:r>
        <w:rPr>
          <w:rFonts w:hint="eastAsia" w:ascii="Times New Roman" w:hAnsi="Times New Roman" w:eastAsia="仿宋" w:cstheme="minorBidi"/>
          <w:bCs/>
          <w:kern w:val="0"/>
          <w:sz w:val="32"/>
          <w:szCs w:val="32"/>
        </w:rPr>
        <w:t>结合</w:t>
      </w:r>
      <w:r>
        <w:rPr>
          <w:rFonts w:ascii="Times New Roman" w:hAnsi="Times New Roman" w:eastAsia="仿宋" w:cstheme="minorBidi"/>
          <w:bCs/>
          <w:kern w:val="0"/>
          <w:sz w:val="32"/>
          <w:szCs w:val="32"/>
        </w:rPr>
        <w:t>挂牌委审议</w:t>
      </w:r>
      <w:r>
        <w:rPr>
          <w:rFonts w:hint="eastAsia" w:ascii="Times New Roman" w:hAnsi="Times New Roman" w:eastAsia="仿宋" w:cstheme="minorBidi"/>
          <w:bCs/>
          <w:kern w:val="0"/>
          <w:sz w:val="32"/>
          <w:szCs w:val="32"/>
        </w:rPr>
        <w:t>意见，</w:t>
      </w:r>
      <w:r>
        <w:rPr>
          <w:rFonts w:ascii="Times New Roman" w:hAnsi="Times New Roman" w:eastAsia="仿宋" w:cstheme="minorBidi"/>
          <w:bCs/>
          <w:kern w:val="0"/>
          <w:sz w:val="32"/>
          <w:szCs w:val="32"/>
        </w:rPr>
        <w:t>作出</w:t>
      </w:r>
      <w:r>
        <w:rPr>
          <w:rFonts w:hint="eastAsia" w:ascii="Times New Roman" w:hAnsi="Times New Roman" w:eastAsia="仿宋" w:cstheme="minorBidi"/>
          <w:bCs/>
          <w:kern w:val="0"/>
          <w:sz w:val="32"/>
          <w:szCs w:val="32"/>
        </w:rPr>
        <w:t>降层调整</w:t>
      </w:r>
      <w:r>
        <w:rPr>
          <w:rFonts w:ascii="Times New Roman" w:hAnsi="Times New Roman" w:eastAsia="仿宋" w:cstheme="minorBidi"/>
          <w:bCs/>
          <w:kern w:val="0"/>
          <w:sz w:val="32"/>
          <w:szCs w:val="32"/>
        </w:rPr>
        <w:t>决定。</w:t>
      </w:r>
    </w:p>
    <w:p>
      <w:pPr>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bCs/>
          <w:kern w:val="0"/>
          <w:sz w:val="32"/>
          <w:szCs w:val="32"/>
        </w:rPr>
        <w:t>挂牌</w:t>
      </w:r>
      <w:r>
        <w:rPr>
          <w:rFonts w:ascii="Times New Roman" w:hAnsi="Times New Roman" w:eastAsia="仿宋" w:cstheme="minorBidi"/>
          <w:bCs/>
          <w:kern w:val="0"/>
          <w:sz w:val="32"/>
          <w:szCs w:val="32"/>
        </w:rPr>
        <w:t>公司对</w:t>
      </w:r>
      <w:r>
        <w:rPr>
          <w:rFonts w:hint="eastAsia" w:ascii="Times New Roman" w:hAnsi="Times New Roman" w:eastAsia="仿宋" w:cstheme="minorBidi"/>
          <w:bCs/>
          <w:kern w:val="0"/>
          <w:sz w:val="32"/>
          <w:szCs w:val="32"/>
        </w:rPr>
        <w:t>降层</w:t>
      </w:r>
      <w:r>
        <w:rPr>
          <w:rFonts w:ascii="Times New Roman" w:hAnsi="Times New Roman" w:eastAsia="仿宋" w:cstheme="minorBidi"/>
          <w:bCs/>
          <w:kern w:val="0"/>
          <w:sz w:val="32"/>
          <w:szCs w:val="32"/>
        </w:rPr>
        <w:t>调整决定存在异议的，</w:t>
      </w:r>
      <w:r>
        <w:rPr>
          <w:rFonts w:hint="eastAsia" w:ascii="Times New Roman" w:hAnsi="Times New Roman" w:eastAsia="仿宋" w:cstheme="minorBidi"/>
          <w:bCs/>
          <w:kern w:val="0"/>
          <w:sz w:val="32"/>
          <w:szCs w:val="32"/>
        </w:rPr>
        <w:t>可以自决定公告</w:t>
      </w:r>
      <w:r>
        <w:rPr>
          <w:rFonts w:ascii="Times New Roman" w:hAnsi="Times New Roman" w:eastAsia="仿宋" w:cstheme="minorBidi"/>
          <w:bCs/>
          <w:kern w:val="0"/>
          <w:sz w:val="32"/>
          <w:szCs w:val="32"/>
        </w:rPr>
        <w:t>之日起</w:t>
      </w:r>
      <w:r>
        <w:rPr>
          <w:rFonts w:hint="eastAsia" w:ascii="Times New Roman" w:hAnsi="Times New Roman" w:eastAsia="仿宋" w:cstheme="minorBidi"/>
          <w:bCs/>
          <w:kern w:val="0"/>
          <w:sz w:val="32"/>
          <w:szCs w:val="32"/>
        </w:rPr>
        <w:t>5个</w:t>
      </w:r>
      <w:r>
        <w:rPr>
          <w:rFonts w:ascii="Times New Roman" w:hAnsi="Times New Roman" w:eastAsia="仿宋" w:cstheme="minorBidi"/>
          <w:bCs/>
          <w:kern w:val="0"/>
          <w:sz w:val="32"/>
          <w:szCs w:val="32"/>
        </w:rPr>
        <w:t>交易日内申请</w:t>
      </w:r>
      <w:r>
        <w:rPr>
          <w:rFonts w:hint="eastAsia" w:ascii="Times New Roman" w:hAnsi="Times New Roman" w:eastAsia="仿宋" w:cstheme="minorBidi"/>
          <w:bCs/>
          <w:kern w:val="0"/>
          <w:sz w:val="32"/>
          <w:szCs w:val="32"/>
        </w:rPr>
        <w:t>复核</w:t>
      </w:r>
      <w:r>
        <w:rPr>
          <w:rFonts w:ascii="Times New Roman" w:hAnsi="Times New Roman" w:eastAsia="仿宋" w:cstheme="minorBidi"/>
          <w:bCs/>
          <w:kern w:val="0"/>
          <w:sz w:val="32"/>
          <w:szCs w:val="32"/>
        </w:rPr>
        <w:t>。</w:t>
      </w:r>
      <w:r>
        <w:rPr>
          <w:rFonts w:hint="eastAsia" w:ascii="Times New Roman" w:hAnsi="Times New Roman" w:eastAsia="仿宋" w:cstheme="minorBidi"/>
          <w:bCs/>
          <w:kern w:val="0"/>
          <w:sz w:val="32"/>
          <w:szCs w:val="32"/>
        </w:rPr>
        <w:t>复核期间，全国股转</w:t>
      </w:r>
      <w:r>
        <w:rPr>
          <w:rFonts w:ascii="Times New Roman" w:hAnsi="Times New Roman" w:eastAsia="仿宋" w:cstheme="minorBidi"/>
          <w:bCs/>
          <w:kern w:val="0"/>
          <w:sz w:val="32"/>
          <w:szCs w:val="32"/>
        </w:rPr>
        <w:t>公司作出的</w:t>
      </w:r>
      <w:r>
        <w:rPr>
          <w:rFonts w:hint="eastAsia" w:ascii="Times New Roman" w:hAnsi="Times New Roman" w:eastAsia="仿宋" w:cstheme="minorBidi"/>
          <w:bCs/>
          <w:kern w:val="0"/>
          <w:sz w:val="32"/>
          <w:szCs w:val="32"/>
        </w:rPr>
        <w:t>降层调整决定暂不执行。</w:t>
      </w:r>
    </w:p>
    <w:p>
      <w:pPr>
        <w:spacing w:line="600" w:lineRule="exact"/>
        <w:ind w:firstLine="640" w:firstLineChars="200"/>
        <w:rPr>
          <w:rFonts w:ascii="Times New Roman" w:hAnsi="Times New Roman" w:eastAsia="仿宋" w:cstheme="minorBidi"/>
          <w:bCs/>
          <w:kern w:val="0"/>
          <w:sz w:val="32"/>
          <w:szCs w:val="32"/>
        </w:rPr>
      </w:pPr>
      <w:r>
        <w:rPr>
          <w:rFonts w:ascii="黑体" w:hAnsi="黑体" w:eastAsia="黑体" w:cstheme="minorBidi"/>
          <w:bCs/>
          <w:kern w:val="0"/>
          <w:sz w:val="32"/>
          <w:szCs w:val="32"/>
        </w:rPr>
        <w:t>第</w:t>
      </w:r>
      <w:r>
        <w:rPr>
          <w:rFonts w:hint="eastAsia" w:ascii="黑体" w:hAnsi="黑体" w:eastAsia="黑体" w:cstheme="minorBidi"/>
          <w:bCs/>
          <w:kern w:val="0"/>
          <w:sz w:val="32"/>
          <w:szCs w:val="32"/>
        </w:rPr>
        <w:t>二十</w:t>
      </w:r>
      <w:r>
        <w:rPr>
          <w:rFonts w:ascii="黑体" w:hAnsi="黑体" w:eastAsia="黑体" w:cstheme="minorBidi"/>
          <w:bCs/>
          <w:kern w:val="0"/>
          <w:sz w:val="32"/>
          <w:szCs w:val="32"/>
        </w:rPr>
        <w:t>一条</w:t>
      </w:r>
      <w:r>
        <w:rPr>
          <w:rFonts w:ascii="仿宋" w:hAnsi="仿宋" w:eastAsia="仿宋"/>
          <w:b/>
          <w:kern w:val="0"/>
          <w:sz w:val="32"/>
        </w:rPr>
        <w:t xml:space="preserve">  </w:t>
      </w:r>
      <w:r>
        <w:rPr>
          <w:rFonts w:hint="eastAsia" w:ascii="Times New Roman" w:hAnsi="Times New Roman" w:eastAsia="仿宋" w:cstheme="minorBidi"/>
          <w:bCs/>
          <w:kern w:val="0"/>
          <w:sz w:val="32"/>
          <w:szCs w:val="32"/>
        </w:rPr>
        <w:t>创新层</w:t>
      </w:r>
      <w:r>
        <w:rPr>
          <w:rFonts w:ascii="Times New Roman" w:hAnsi="Times New Roman" w:eastAsia="仿宋" w:cstheme="minorBidi"/>
          <w:bCs/>
          <w:kern w:val="0"/>
          <w:sz w:val="32"/>
          <w:szCs w:val="32"/>
        </w:rPr>
        <w:t>挂牌公司出现本办法第十四条</w:t>
      </w:r>
      <w:r>
        <w:rPr>
          <w:rFonts w:ascii="Times New Roman" w:hAnsi="Times New Roman" w:eastAsia="仿宋" w:cstheme="minorBidi"/>
          <w:kern w:val="0"/>
          <w:sz w:val="32"/>
          <w:szCs w:val="32"/>
        </w:rPr>
        <w:t>第一款第</w:t>
      </w:r>
      <w:r>
        <w:rPr>
          <w:rFonts w:hint="eastAsia" w:ascii="Times New Roman" w:hAnsi="Times New Roman" w:eastAsia="仿宋" w:cstheme="minorBidi"/>
          <w:kern w:val="0"/>
          <w:sz w:val="32"/>
          <w:szCs w:val="32"/>
        </w:rPr>
        <w:t>一项至第五项、第九项至第十一项</w:t>
      </w:r>
      <w:r>
        <w:rPr>
          <w:rFonts w:ascii="Times New Roman" w:hAnsi="Times New Roman" w:eastAsia="仿宋" w:cstheme="minorBidi"/>
          <w:bCs/>
          <w:kern w:val="0"/>
          <w:sz w:val="32"/>
          <w:szCs w:val="32"/>
        </w:rPr>
        <w:t>规定的情形被调</w:t>
      </w:r>
      <w:r>
        <w:rPr>
          <w:rFonts w:hint="eastAsia" w:ascii="Times New Roman" w:hAnsi="Times New Roman" w:eastAsia="仿宋" w:cstheme="minorBidi"/>
          <w:bCs/>
          <w:kern w:val="0"/>
          <w:sz w:val="32"/>
          <w:szCs w:val="32"/>
        </w:rPr>
        <w:t>整至</w:t>
      </w:r>
      <w:r>
        <w:rPr>
          <w:rFonts w:ascii="Times New Roman" w:hAnsi="Times New Roman" w:eastAsia="仿宋" w:cstheme="minorBidi"/>
          <w:bCs/>
          <w:kern w:val="0"/>
          <w:sz w:val="32"/>
          <w:szCs w:val="32"/>
        </w:rPr>
        <w:t>基础层</w:t>
      </w:r>
      <w:r>
        <w:rPr>
          <w:rFonts w:hint="eastAsia" w:ascii="Times New Roman" w:hAnsi="Times New Roman" w:eastAsia="仿宋" w:cstheme="minorBidi"/>
          <w:bCs/>
          <w:kern w:val="0"/>
          <w:sz w:val="32"/>
          <w:szCs w:val="32"/>
        </w:rPr>
        <w:t>的</w:t>
      </w:r>
      <w:r>
        <w:rPr>
          <w:rFonts w:ascii="Times New Roman" w:hAnsi="Times New Roman" w:eastAsia="仿宋" w:cstheme="minorBidi"/>
          <w:bCs/>
          <w:kern w:val="0"/>
          <w:sz w:val="32"/>
          <w:szCs w:val="32"/>
        </w:rPr>
        <w:t>，自调</w:t>
      </w:r>
      <w:r>
        <w:rPr>
          <w:rFonts w:hint="eastAsia" w:ascii="Times New Roman" w:hAnsi="Times New Roman" w:eastAsia="仿宋" w:cstheme="minorBidi"/>
          <w:bCs/>
          <w:kern w:val="0"/>
          <w:sz w:val="32"/>
          <w:szCs w:val="32"/>
        </w:rPr>
        <w:t>整至</w:t>
      </w:r>
      <w:r>
        <w:rPr>
          <w:rFonts w:ascii="Times New Roman" w:hAnsi="Times New Roman" w:eastAsia="仿宋" w:cstheme="minorBidi"/>
          <w:bCs/>
          <w:kern w:val="0"/>
          <w:sz w:val="32"/>
          <w:szCs w:val="32"/>
        </w:rPr>
        <w:t>基础层之日起</w:t>
      </w:r>
      <w:r>
        <w:rPr>
          <w:rFonts w:ascii="Times New Roman" w:hAnsi="Times New Roman" w:eastAsia="仿宋" w:cstheme="minorBidi"/>
          <w:kern w:val="0"/>
          <w:sz w:val="32"/>
          <w:szCs w:val="32"/>
        </w:rPr>
        <w:t>12</w:t>
      </w:r>
      <w:r>
        <w:rPr>
          <w:rFonts w:ascii="Times New Roman" w:hAnsi="Times New Roman" w:eastAsia="仿宋" w:cstheme="minorBidi"/>
          <w:bCs/>
          <w:kern w:val="0"/>
          <w:sz w:val="32"/>
          <w:szCs w:val="32"/>
        </w:rPr>
        <w:t>个月内，不得再次进入</w:t>
      </w:r>
      <w:r>
        <w:rPr>
          <w:rFonts w:hint="eastAsia" w:ascii="Times New Roman" w:hAnsi="Times New Roman" w:eastAsia="仿宋" w:cstheme="minorBidi"/>
          <w:bCs/>
          <w:kern w:val="0"/>
          <w:sz w:val="32"/>
          <w:szCs w:val="32"/>
        </w:rPr>
        <w:t>创新层</w:t>
      </w:r>
      <w:r>
        <w:rPr>
          <w:rFonts w:ascii="Times New Roman" w:hAnsi="Times New Roman" w:eastAsia="仿宋" w:cstheme="minorBidi"/>
          <w:bCs/>
          <w:kern w:val="0"/>
          <w:sz w:val="32"/>
          <w:szCs w:val="32"/>
        </w:rPr>
        <w:t>。</w:t>
      </w:r>
    </w:p>
    <w:p>
      <w:pPr>
        <w:spacing w:line="600" w:lineRule="exact"/>
        <w:ind w:firstLine="640" w:firstLineChars="200"/>
        <w:rPr>
          <w:rFonts w:ascii="Times New Roman" w:hAnsi="Times New Roman" w:eastAsia="仿宋" w:cstheme="minorBidi"/>
          <w:bCs/>
          <w:kern w:val="0"/>
          <w:sz w:val="32"/>
          <w:szCs w:val="32"/>
        </w:rPr>
      </w:pPr>
      <w:r>
        <w:rPr>
          <w:rFonts w:hint="eastAsia" w:ascii="Times New Roman" w:hAnsi="Times New Roman" w:eastAsia="仿宋" w:cstheme="minorBidi"/>
          <w:kern w:val="0"/>
          <w:sz w:val="32"/>
          <w:szCs w:val="32"/>
        </w:rPr>
        <w:t>创新层</w:t>
      </w:r>
      <w:r>
        <w:rPr>
          <w:rFonts w:ascii="Times New Roman" w:hAnsi="Times New Roman" w:eastAsia="仿宋" w:cstheme="minorBidi"/>
          <w:kern w:val="0"/>
          <w:sz w:val="32"/>
          <w:szCs w:val="32"/>
        </w:rPr>
        <w:t>挂牌公司因更正年度报告导致其出现本办法第</w:t>
      </w:r>
      <w:r>
        <w:rPr>
          <w:rFonts w:hint="eastAsia" w:ascii="Times New Roman" w:hAnsi="Times New Roman" w:eastAsia="仿宋" w:cstheme="minorBidi"/>
          <w:kern w:val="0"/>
          <w:sz w:val="32"/>
          <w:szCs w:val="32"/>
        </w:rPr>
        <w:t>十</w:t>
      </w:r>
      <w:r>
        <w:rPr>
          <w:rFonts w:ascii="Times New Roman" w:hAnsi="Times New Roman" w:eastAsia="仿宋" w:cstheme="minorBidi"/>
          <w:kern w:val="0"/>
          <w:sz w:val="32"/>
          <w:szCs w:val="32"/>
        </w:rPr>
        <w:t>四条第一款第</w:t>
      </w:r>
      <w:r>
        <w:rPr>
          <w:rFonts w:hint="eastAsia" w:ascii="Times New Roman" w:hAnsi="Times New Roman" w:eastAsia="仿宋" w:cstheme="minorBidi"/>
          <w:kern w:val="0"/>
          <w:sz w:val="32"/>
          <w:szCs w:val="32"/>
        </w:rPr>
        <w:t>五</w:t>
      </w:r>
      <w:r>
        <w:rPr>
          <w:rFonts w:ascii="Times New Roman" w:hAnsi="Times New Roman" w:eastAsia="仿宋" w:cstheme="minorBidi"/>
          <w:kern w:val="0"/>
          <w:sz w:val="32"/>
          <w:szCs w:val="32"/>
        </w:rPr>
        <w:t>项规定情形被调整至基础层，且因信息披露文件存在虚假记载受到中国证监会及其派出机构行政处罚或全国股转公司公开谴责的，或者因出现本办法第十四条第一款第</w:t>
      </w:r>
      <w:r>
        <w:rPr>
          <w:rFonts w:hint="eastAsia" w:ascii="Times New Roman" w:hAnsi="Times New Roman" w:eastAsia="仿宋" w:cstheme="minorBidi"/>
          <w:kern w:val="0"/>
          <w:sz w:val="32"/>
          <w:szCs w:val="32"/>
        </w:rPr>
        <w:t>六</w:t>
      </w:r>
      <w:r>
        <w:rPr>
          <w:rFonts w:ascii="Times New Roman" w:hAnsi="Times New Roman" w:eastAsia="仿宋" w:cstheme="minorBidi"/>
          <w:kern w:val="0"/>
          <w:sz w:val="32"/>
          <w:szCs w:val="32"/>
        </w:rPr>
        <w:t>项</w:t>
      </w:r>
      <w:r>
        <w:rPr>
          <w:rFonts w:hint="eastAsia" w:ascii="Times New Roman" w:hAnsi="Times New Roman" w:eastAsia="仿宋" w:cstheme="minorBidi"/>
          <w:kern w:val="0"/>
          <w:sz w:val="32"/>
          <w:szCs w:val="32"/>
        </w:rPr>
        <w:t>至</w:t>
      </w:r>
      <w:r>
        <w:rPr>
          <w:rFonts w:ascii="Times New Roman" w:hAnsi="Times New Roman" w:eastAsia="仿宋" w:cstheme="minorBidi"/>
          <w:kern w:val="0"/>
          <w:sz w:val="32"/>
          <w:szCs w:val="32"/>
        </w:rPr>
        <w:t>第八项规定情形被调整至基础层的</w:t>
      </w:r>
      <w:r>
        <w:rPr>
          <w:rFonts w:hint="eastAsia" w:ascii="Times New Roman" w:hAnsi="Times New Roman" w:eastAsia="仿宋" w:cstheme="minorBidi"/>
          <w:kern w:val="0"/>
          <w:sz w:val="32"/>
          <w:szCs w:val="32"/>
        </w:rPr>
        <w:t>，自调整至基础层之日起</w:t>
      </w:r>
      <w:r>
        <w:rPr>
          <w:rFonts w:ascii="Times New Roman" w:hAnsi="Times New Roman" w:eastAsia="仿宋" w:cstheme="minorBidi"/>
          <w:kern w:val="0"/>
          <w:sz w:val="32"/>
          <w:szCs w:val="32"/>
        </w:rPr>
        <w:t>24</w:t>
      </w:r>
      <w:r>
        <w:rPr>
          <w:rFonts w:hint="eastAsia" w:ascii="Times New Roman" w:hAnsi="Times New Roman" w:eastAsia="仿宋" w:cstheme="minorBidi"/>
          <w:kern w:val="0"/>
          <w:sz w:val="32"/>
          <w:szCs w:val="32"/>
        </w:rPr>
        <w:t>个月内，不得再次进入创新层。</w:t>
      </w:r>
    </w:p>
    <w:p>
      <w:pPr>
        <w:spacing w:line="600" w:lineRule="exact"/>
        <w:ind w:firstLine="640" w:firstLineChars="200"/>
        <w:rPr>
          <w:rFonts w:ascii="Times New Roman" w:hAnsi="Times New Roman" w:eastAsia="仿宋" w:cstheme="minorBidi"/>
          <w:b/>
          <w:bCs/>
          <w:kern w:val="0"/>
          <w:sz w:val="32"/>
          <w:szCs w:val="32"/>
        </w:rPr>
      </w:pPr>
      <w:r>
        <w:rPr>
          <w:rFonts w:ascii="黑体" w:hAnsi="黑体" w:eastAsia="黑体" w:cstheme="minorBidi"/>
          <w:bCs/>
          <w:kern w:val="0"/>
          <w:sz w:val="32"/>
          <w:szCs w:val="32"/>
        </w:rPr>
        <w:t>第二十二</w:t>
      </w:r>
      <w:r>
        <w:rPr>
          <w:rFonts w:hint="eastAsia" w:ascii="黑体" w:hAnsi="黑体" w:eastAsia="黑体" w:cstheme="minorBidi"/>
          <w:bCs/>
          <w:kern w:val="0"/>
          <w:sz w:val="32"/>
          <w:szCs w:val="32"/>
        </w:rPr>
        <w:t>条</w:t>
      </w:r>
      <w:r>
        <w:rPr>
          <w:rFonts w:ascii="仿宋" w:hAnsi="仿宋" w:eastAsia="仿宋"/>
          <w:b/>
          <w:kern w:val="0"/>
          <w:sz w:val="32"/>
        </w:rPr>
        <w:t xml:space="preserve">  </w:t>
      </w:r>
      <w:r>
        <w:rPr>
          <w:rFonts w:hint="eastAsia" w:ascii="仿宋" w:hAnsi="仿宋" w:eastAsia="仿宋"/>
          <w:kern w:val="0"/>
          <w:sz w:val="32"/>
        </w:rPr>
        <w:t>挂牌公司出现股票强制终止挂牌情形的，全国股转公司在其股票终止挂牌前，不对其进行层级调整。</w:t>
      </w:r>
    </w:p>
    <w:p>
      <w:pPr>
        <w:spacing w:before="240" w:after="240" w:line="600" w:lineRule="exact"/>
        <w:jc w:val="center"/>
        <w:outlineLvl w:val="0"/>
        <w:rPr>
          <w:rFonts w:ascii="Times New Roman" w:hAnsi="Times New Roman" w:eastAsia="黑体" w:cstheme="minorBidi"/>
          <w:bCs/>
          <w:sz w:val="32"/>
          <w:szCs w:val="32"/>
        </w:rPr>
      </w:pPr>
      <w:r>
        <w:rPr>
          <w:rFonts w:ascii="Times New Roman" w:hAnsi="Times New Roman" w:eastAsia="黑体" w:cstheme="minorBidi"/>
          <w:bCs/>
          <w:sz w:val="32"/>
          <w:szCs w:val="32"/>
        </w:rPr>
        <w:t>第四章  自律管理</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第二十三条</w:t>
      </w:r>
      <w:r>
        <w:rPr>
          <w:rFonts w:ascii="仿宋" w:hAnsi="仿宋" w:eastAsia="仿宋"/>
          <w:b/>
          <w:kern w:val="0"/>
          <w:sz w:val="32"/>
        </w:rPr>
        <w:t xml:space="preserve">  </w:t>
      </w:r>
      <w:r>
        <w:rPr>
          <w:rFonts w:ascii="Times New Roman" w:hAnsi="Times New Roman" w:eastAsia="仿宋" w:cstheme="minorBidi"/>
          <w:kern w:val="0"/>
          <w:sz w:val="32"/>
          <w:szCs w:val="32"/>
        </w:rPr>
        <w:t>全国股转公司可以根据挂牌公司</w:t>
      </w:r>
      <w:r>
        <w:rPr>
          <w:rFonts w:hint="eastAsia" w:ascii="Times New Roman" w:hAnsi="Times New Roman" w:eastAsia="仿宋" w:cstheme="minorBidi"/>
          <w:kern w:val="0"/>
          <w:sz w:val="32"/>
          <w:szCs w:val="32"/>
        </w:rPr>
        <w:t>分层管理</w:t>
      </w:r>
      <w:r>
        <w:rPr>
          <w:rFonts w:ascii="Times New Roman" w:hAnsi="Times New Roman" w:eastAsia="仿宋" w:cstheme="minorBidi"/>
          <w:kern w:val="0"/>
          <w:sz w:val="32"/>
          <w:szCs w:val="32"/>
        </w:rPr>
        <w:t>的需要，</w:t>
      </w:r>
      <w:r>
        <w:rPr>
          <w:rFonts w:hint="eastAsia" w:ascii="Times New Roman" w:hAnsi="Times New Roman" w:eastAsia="仿宋" w:cstheme="minorBidi"/>
          <w:kern w:val="0"/>
          <w:sz w:val="32"/>
          <w:szCs w:val="32"/>
        </w:rPr>
        <w:t xml:space="preserve">要求挂牌公司及其董事、监事、高级管理人员、股东、实际控制人提交相关材料或对有关事项作出解释、说明、更正和补充，要求主办券商、会计师事务所、律师事务所、其他证券服务机构进行核查、出具文件。 </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第二十四条</w:t>
      </w:r>
      <w:r>
        <w:rPr>
          <w:rFonts w:ascii="仿宋" w:hAnsi="仿宋" w:eastAsia="仿宋"/>
          <w:b/>
          <w:kern w:val="0"/>
          <w:sz w:val="32"/>
        </w:rPr>
        <w:t xml:space="preserve">  </w:t>
      </w:r>
      <w:r>
        <w:rPr>
          <w:rFonts w:hint="eastAsia" w:ascii="Times New Roman" w:hAnsi="Times New Roman" w:eastAsia="仿宋" w:cstheme="minorBidi"/>
          <w:kern w:val="0"/>
          <w:sz w:val="32"/>
          <w:szCs w:val="32"/>
        </w:rPr>
        <w:t>挂牌公司及其董事、监事、高级管理人员、股东、实际控制人，主办券商、会计师事务所、律师事务所、其他证券服务机构及其从业人员，应当遵守法律法规、中国证监会和全国股转公司有关规定，对所提交材料或出具文件的真实性、准确性、完整性负责。</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第二十五</w:t>
      </w:r>
      <w:r>
        <w:rPr>
          <w:rFonts w:hint="eastAsia" w:ascii="黑体" w:hAnsi="黑体" w:eastAsia="黑体" w:cstheme="minorBidi"/>
          <w:bCs/>
          <w:kern w:val="0"/>
          <w:sz w:val="32"/>
          <w:szCs w:val="32"/>
        </w:rPr>
        <w:t>条</w:t>
      </w:r>
      <w:r>
        <w:rPr>
          <w:rFonts w:ascii="仿宋" w:hAnsi="仿宋" w:eastAsia="仿宋"/>
          <w:b/>
          <w:kern w:val="0"/>
          <w:sz w:val="32"/>
        </w:rPr>
        <w:t xml:space="preserve">  </w:t>
      </w:r>
      <w:r>
        <w:rPr>
          <w:rFonts w:hint="eastAsia" w:ascii="Times New Roman" w:hAnsi="Times New Roman" w:eastAsia="仿宋" w:cstheme="minorBidi"/>
          <w:kern w:val="0"/>
          <w:sz w:val="32"/>
          <w:szCs w:val="32"/>
        </w:rPr>
        <w:t>挂牌公司及其董事、监事、高级管理人员、股东、实际控制人，主办券商、会计师事务所、律师事务所、其他证券服务机构及其从业人员，违反本办法相关规定的，全国股转公司可以依据有关规定采取自律监管措施或纪律处分。</w:t>
      </w:r>
    </w:p>
    <w:p>
      <w:pPr>
        <w:spacing w:before="240" w:after="240" w:line="600" w:lineRule="exact"/>
        <w:jc w:val="center"/>
        <w:outlineLvl w:val="0"/>
        <w:rPr>
          <w:rFonts w:ascii="Times New Roman" w:hAnsi="Times New Roman" w:eastAsia="黑体" w:cstheme="minorBidi"/>
          <w:bCs/>
          <w:sz w:val="32"/>
          <w:szCs w:val="32"/>
        </w:rPr>
      </w:pPr>
      <w:r>
        <w:rPr>
          <w:rFonts w:ascii="Times New Roman" w:hAnsi="Times New Roman" w:eastAsia="黑体" w:cstheme="minorBidi"/>
          <w:bCs/>
          <w:sz w:val="32"/>
          <w:szCs w:val="32"/>
        </w:rPr>
        <w:t>第五章  附</w:t>
      </w:r>
      <w:r>
        <w:rPr>
          <w:rFonts w:hint="eastAsia" w:ascii="Times New Roman" w:hAnsi="Times New Roman" w:eastAsia="黑体" w:cstheme="minorBidi"/>
          <w:bCs/>
          <w:sz w:val="32"/>
          <w:szCs w:val="32"/>
        </w:rPr>
        <w:t xml:space="preserve">  </w:t>
      </w:r>
      <w:r>
        <w:rPr>
          <w:rFonts w:ascii="Times New Roman" w:hAnsi="Times New Roman" w:eastAsia="黑体" w:cstheme="minorBidi"/>
          <w:bCs/>
          <w:sz w:val="32"/>
          <w:szCs w:val="32"/>
        </w:rPr>
        <w:t>则</w:t>
      </w:r>
    </w:p>
    <w:p>
      <w:pPr>
        <w:kinsoku w:val="0"/>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第二十六条</w:t>
      </w:r>
      <w:r>
        <w:rPr>
          <w:rFonts w:ascii="仿宋" w:hAnsi="仿宋" w:eastAsia="仿宋"/>
          <w:b/>
          <w:kern w:val="0"/>
          <w:sz w:val="32"/>
        </w:rPr>
        <w:t xml:space="preserve">  </w:t>
      </w:r>
      <w:r>
        <w:rPr>
          <w:rFonts w:ascii="Times New Roman" w:hAnsi="Times New Roman" w:eastAsia="仿宋" w:cstheme="minorBidi"/>
          <w:kern w:val="0"/>
          <w:sz w:val="32"/>
          <w:szCs w:val="32"/>
        </w:rPr>
        <w:t>本办法所称净利润、营业收入、净资产等均指经审计的数值。</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第二十七条</w:t>
      </w:r>
      <w:r>
        <w:rPr>
          <w:rFonts w:ascii="仿宋" w:hAnsi="仿宋" w:eastAsia="仿宋"/>
          <w:b/>
          <w:kern w:val="0"/>
          <w:sz w:val="32"/>
        </w:rPr>
        <w:t xml:space="preserve">  </w:t>
      </w:r>
      <w:r>
        <w:rPr>
          <w:rFonts w:ascii="Times New Roman" w:hAnsi="Times New Roman" w:eastAsia="仿宋" w:cstheme="minorBidi"/>
          <w:kern w:val="0"/>
          <w:sz w:val="32"/>
          <w:szCs w:val="32"/>
        </w:rPr>
        <w:t>本办法下列用语的具体含义或计算方法如下：</w:t>
      </w:r>
    </w:p>
    <w:p>
      <w:pPr>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w:t>
      </w:r>
      <w:r>
        <w:rPr>
          <w:rFonts w:hint="eastAsia" w:ascii="Times New Roman" w:hAnsi="Times New Roman" w:eastAsia="仿宋" w:cstheme="minorBidi"/>
          <w:kern w:val="0"/>
          <w:sz w:val="32"/>
          <w:szCs w:val="32"/>
        </w:rPr>
        <w:t>一</w:t>
      </w:r>
      <w:r>
        <w:rPr>
          <w:rFonts w:ascii="Times New Roman" w:hAnsi="Times New Roman" w:eastAsia="仿宋" w:cstheme="minorBidi"/>
          <w:kern w:val="0"/>
          <w:sz w:val="32"/>
          <w:szCs w:val="32"/>
        </w:rPr>
        <w:t>）净利润</w:t>
      </w:r>
      <w:r>
        <w:rPr>
          <w:rFonts w:hint="eastAsia" w:ascii="Times New Roman" w:hAnsi="Times New Roman" w:eastAsia="仿宋" w:cstheme="minorBidi"/>
          <w:kern w:val="0"/>
          <w:sz w:val="32"/>
          <w:szCs w:val="32"/>
        </w:rPr>
        <w:t>：</w:t>
      </w:r>
      <w:r>
        <w:rPr>
          <w:rFonts w:ascii="Times New Roman" w:hAnsi="Times New Roman" w:eastAsia="仿宋" w:cstheme="minorBidi"/>
          <w:kern w:val="0"/>
          <w:sz w:val="32"/>
          <w:szCs w:val="32"/>
        </w:rPr>
        <w:t>归属于挂牌公司股东的净利润，不包括少数股东损益，并以扣除非经常性损益前后孰低者为计算依据</w:t>
      </w:r>
      <w:r>
        <w:rPr>
          <w:rFonts w:hint="eastAsia" w:ascii="Times New Roman" w:hAnsi="Times New Roman" w:eastAsia="仿宋" w:cstheme="minorBidi"/>
          <w:kern w:val="0"/>
          <w:sz w:val="32"/>
          <w:szCs w:val="32"/>
        </w:rPr>
        <w:t>；</w:t>
      </w:r>
    </w:p>
    <w:p>
      <w:pPr>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w:t>
      </w:r>
      <w:r>
        <w:rPr>
          <w:rFonts w:hint="eastAsia" w:ascii="Times New Roman" w:hAnsi="Times New Roman" w:eastAsia="仿宋" w:cstheme="minorBidi"/>
          <w:kern w:val="0"/>
          <w:sz w:val="32"/>
          <w:szCs w:val="32"/>
        </w:rPr>
        <w:t>二</w:t>
      </w:r>
      <w:r>
        <w:rPr>
          <w:rFonts w:ascii="Times New Roman" w:hAnsi="Times New Roman" w:eastAsia="仿宋" w:cstheme="minorBidi"/>
          <w:kern w:val="0"/>
          <w:sz w:val="32"/>
          <w:szCs w:val="32"/>
        </w:rPr>
        <w:t>）净资产</w:t>
      </w:r>
      <w:r>
        <w:rPr>
          <w:rFonts w:hint="eastAsia" w:ascii="Times New Roman" w:hAnsi="Times New Roman" w:eastAsia="仿宋" w:cstheme="minorBidi"/>
          <w:kern w:val="0"/>
          <w:sz w:val="32"/>
          <w:szCs w:val="32"/>
        </w:rPr>
        <w:t>：</w:t>
      </w:r>
      <w:r>
        <w:rPr>
          <w:rFonts w:ascii="Times New Roman" w:hAnsi="Times New Roman" w:eastAsia="仿宋" w:cstheme="minorBidi"/>
          <w:kern w:val="0"/>
          <w:sz w:val="32"/>
          <w:szCs w:val="32"/>
        </w:rPr>
        <w:t>指归属于挂牌公司股东的净资产，不包括少数股东权益</w:t>
      </w:r>
      <w:r>
        <w:rPr>
          <w:rFonts w:hint="eastAsia" w:ascii="Times New Roman" w:hAnsi="Times New Roman" w:eastAsia="仿宋" w:cstheme="minorBidi"/>
          <w:kern w:val="0"/>
          <w:sz w:val="32"/>
          <w:szCs w:val="32"/>
        </w:rPr>
        <w:t>；</w:t>
      </w:r>
    </w:p>
    <w:p>
      <w:pPr>
        <w:spacing w:line="600" w:lineRule="exact"/>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w:t>
      </w:r>
      <w:r>
        <w:rPr>
          <w:rFonts w:hint="eastAsia" w:ascii="Times New Roman" w:hAnsi="Times New Roman" w:eastAsia="仿宋" w:cstheme="minorBidi"/>
          <w:kern w:val="0"/>
          <w:sz w:val="32"/>
          <w:szCs w:val="32"/>
        </w:rPr>
        <w:t>三</w:t>
      </w:r>
      <w:r>
        <w:rPr>
          <w:rFonts w:ascii="Times New Roman" w:hAnsi="Times New Roman" w:eastAsia="仿宋" w:cstheme="minorBidi"/>
          <w:kern w:val="0"/>
          <w:sz w:val="32"/>
          <w:szCs w:val="32"/>
        </w:rPr>
        <w:t>）加权平均净资产收益率</w:t>
      </w:r>
      <w:r>
        <w:rPr>
          <w:rFonts w:hint="eastAsia" w:ascii="Times New Roman" w:hAnsi="Times New Roman" w:eastAsia="仿宋" w:cstheme="minorBidi"/>
          <w:kern w:val="0"/>
          <w:sz w:val="32"/>
          <w:szCs w:val="32"/>
        </w:rPr>
        <w:t>：</w:t>
      </w:r>
      <w:r>
        <w:rPr>
          <w:rFonts w:ascii="Times New Roman" w:hAnsi="Times New Roman" w:eastAsia="仿宋" w:cstheme="minorBidi"/>
          <w:kern w:val="0"/>
          <w:sz w:val="32"/>
          <w:szCs w:val="32"/>
        </w:rPr>
        <w:t>以扣除非经常性损益前后孰低者为计算依据，并根据中国证监会发布的《公开发行证券的公司信息披露编报规则第9号—净资产收益率和每股收益的计算》规定计算</w:t>
      </w:r>
      <w:r>
        <w:rPr>
          <w:rFonts w:hint="eastAsia" w:ascii="Times New Roman" w:hAnsi="Times New Roman" w:eastAsia="仿宋" w:cstheme="minorBidi"/>
          <w:kern w:val="0"/>
          <w:sz w:val="32"/>
          <w:szCs w:val="32"/>
        </w:rPr>
        <w:t>；</w:t>
      </w:r>
    </w:p>
    <w:p>
      <w:pPr>
        <w:ind w:firstLine="640" w:firstLineChars="200"/>
        <w:rPr>
          <w:rFonts w:ascii="Times New Roman" w:hAnsi="Times New Roman" w:eastAsia="仿宋" w:cstheme="minorBidi"/>
          <w:kern w:val="0"/>
          <w:sz w:val="32"/>
          <w:szCs w:val="32"/>
        </w:rPr>
      </w:pPr>
      <w:r>
        <w:rPr>
          <w:rFonts w:ascii="Times New Roman" w:hAnsi="Times New Roman" w:eastAsia="仿宋" w:cstheme="minorBidi"/>
          <w:kern w:val="0"/>
          <w:sz w:val="32"/>
          <w:szCs w:val="32"/>
        </w:rPr>
        <w:t>（</w:t>
      </w:r>
      <w:r>
        <w:rPr>
          <w:rFonts w:hint="eastAsia" w:ascii="Times New Roman" w:hAnsi="Times New Roman" w:eastAsia="仿宋" w:cstheme="minorBidi"/>
          <w:kern w:val="0"/>
          <w:sz w:val="32"/>
          <w:szCs w:val="32"/>
        </w:rPr>
        <w:t>四</w:t>
      </w:r>
      <w:r>
        <w:rPr>
          <w:rFonts w:ascii="Times New Roman" w:hAnsi="Times New Roman" w:eastAsia="仿宋" w:cstheme="minorBidi"/>
          <w:kern w:val="0"/>
          <w:sz w:val="32"/>
          <w:szCs w:val="32"/>
        </w:rPr>
        <w:t>）年均复合增长率：年均复合增长率=</w:t>
      </w:r>
      <m:oMath>
        <m:rad>
          <m:radPr>
            <m:degHide m:val="true"/>
            <m:ctrlPr>
              <w:rPr>
                <w:rFonts w:ascii="Cambria Math" w:hAnsi="Cambria Math" w:eastAsia="仿宋" w:cstheme="minorBidi"/>
                <w:kern w:val="0"/>
                <w:sz w:val="28"/>
                <w:szCs w:val="32"/>
              </w:rPr>
            </m:ctrlPr>
          </m:radPr>
          <m:deg>
            <m:ctrlPr>
              <w:rPr>
                <w:rFonts w:ascii="Cambria Math" w:hAnsi="Cambria Math" w:eastAsia="仿宋" w:cstheme="minorBidi"/>
                <w:kern w:val="0"/>
                <w:sz w:val="28"/>
                <w:szCs w:val="32"/>
              </w:rPr>
            </m:ctrlPr>
          </m:deg>
          <m:e>
            <m:f>
              <m:fPr>
                <m:ctrlPr>
                  <w:rPr>
                    <w:rFonts w:ascii="Cambria Math" w:hAnsi="Cambria Math" w:eastAsia="仿宋" w:cstheme="minorBidi"/>
                    <w:kern w:val="0"/>
                    <w:sz w:val="28"/>
                    <w:szCs w:val="32"/>
                  </w:rPr>
                </m:ctrlPr>
              </m:fPr>
              <m:num>
                <m:sSub>
                  <m:sSubPr>
                    <m:ctrlPr>
                      <w:rPr>
                        <w:rFonts w:ascii="Cambria Math" w:hAnsi="Cambria Math" w:eastAsia="仿宋" w:cstheme="minorBidi"/>
                        <w:kern w:val="0"/>
                        <w:sz w:val="28"/>
                        <w:szCs w:val="32"/>
                      </w:rPr>
                    </m:ctrlPr>
                  </m:sSubPr>
                  <m:e>
                    <m:r>
                      <m:rPr/>
                      <w:rPr>
                        <w:rFonts w:ascii="Cambria Math" w:hAnsi="Cambria Math" w:eastAsia="仿宋" w:cstheme="minorBidi"/>
                        <w:kern w:val="0"/>
                        <w:sz w:val="28"/>
                        <w:szCs w:val="32"/>
                      </w:rPr>
                      <m:t>R</m:t>
                    </m:r>
                    <m:ctrlPr>
                      <w:rPr>
                        <w:rFonts w:ascii="Cambria Math" w:hAnsi="Cambria Math" w:eastAsia="仿宋" w:cstheme="minorBidi"/>
                        <w:kern w:val="0"/>
                        <w:sz w:val="28"/>
                        <w:szCs w:val="32"/>
                      </w:rPr>
                    </m:ctrlPr>
                  </m:e>
                  <m:sub>
                    <m:r>
                      <m:rPr/>
                      <w:rPr>
                        <w:rFonts w:ascii="Cambria Math" w:hAnsi="Cambria Math" w:eastAsia="仿宋" w:cstheme="minorBidi"/>
                        <w:kern w:val="0"/>
                        <w:sz w:val="28"/>
                        <w:szCs w:val="32"/>
                      </w:rPr>
                      <m:t>n</m:t>
                    </m:r>
                    <m:ctrlPr>
                      <w:rPr>
                        <w:rFonts w:ascii="Cambria Math" w:hAnsi="Cambria Math" w:eastAsia="仿宋" w:cstheme="minorBidi"/>
                        <w:kern w:val="0"/>
                        <w:sz w:val="28"/>
                        <w:szCs w:val="32"/>
                      </w:rPr>
                    </m:ctrlPr>
                  </m:sub>
                </m:sSub>
                <m:ctrlPr>
                  <w:rPr>
                    <w:rFonts w:ascii="Cambria Math" w:hAnsi="Cambria Math" w:eastAsia="仿宋" w:cstheme="minorBidi"/>
                    <w:kern w:val="0"/>
                    <w:sz w:val="28"/>
                    <w:szCs w:val="32"/>
                  </w:rPr>
                </m:ctrlPr>
              </m:num>
              <m:den>
                <m:sSub>
                  <m:sSubPr>
                    <m:ctrlPr>
                      <w:rPr>
                        <w:rFonts w:ascii="Cambria Math" w:hAnsi="Cambria Math" w:eastAsia="仿宋" w:cstheme="minorBidi"/>
                        <w:kern w:val="0"/>
                        <w:sz w:val="28"/>
                        <w:szCs w:val="32"/>
                      </w:rPr>
                    </m:ctrlPr>
                  </m:sSubPr>
                  <m:e>
                    <m:r>
                      <m:rPr/>
                      <w:rPr>
                        <w:rFonts w:ascii="Cambria Math" w:hAnsi="Cambria Math" w:eastAsia="仿宋" w:cstheme="minorBidi"/>
                        <w:kern w:val="0"/>
                        <w:sz w:val="28"/>
                        <w:szCs w:val="32"/>
                      </w:rPr>
                      <m:t>R</m:t>
                    </m:r>
                    <m:ctrlPr>
                      <w:rPr>
                        <w:rFonts w:ascii="Cambria Math" w:hAnsi="Cambria Math" w:eastAsia="仿宋" w:cstheme="minorBidi"/>
                        <w:kern w:val="0"/>
                        <w:sz w:val="28"/>
                        <w:szCs w:val="32"/>
                      </w:rPr>
                    </m:ctrlPr>
                  </m:e>
                  <m:sub>
                    <m:r>
                      <m:rPr/>
                      <w:rPr>
                        <w:rFonts w:ascii="Cambria Math" w:hAnsi="Cambria Math" w:eastAsia="仿宋" w:cstheme="minorBidi"/>
                        <w:kern w:val="0"/>
                        <w:sz w:val="28"/>
                        <w:szCs w:val="32"/>
                      </w:rPr>
                      <m:t>n</m:t>
                    </m:r>
                    <m:r>
                      <m:rPr>
                        <m:sty m:val="p"/>
                      </m:rPr>
                      <w:rPr>
                        <w:rFonts w:ascii="Cambria Math" w:hAnsi="Cambria Math" w:eastAsia="仿宋" w:cstheme="minorBidi"/>
                        <w:kern w:val="0"/>
                        <w:sz w:val="28"/>
                        <w:szCs w:val="32"/>
                      </w:rPr>
                      <m:t>−2</m:t>
                    </m:r>
                    <m:ctrlPr>
                      <w:rPr>
                        <w:rFonts w:ascii="Cambria Math" w:hAnsi="Cambria Math" w:eastAsia="仿宋" w:cstheme="minorBidi"/>
                        <w:kern w:val="0"/>
                        <w:sz w:val="28"/>
                        <w:szCs w:val="32"/>
                      </w:rPr>
                    </m:ctrlPr>
                  </m:sub>
                </m:sSub>
                <m:ctrlPr>
                  <w:rPr>
                    <w:rFonts w:ascii="Cambria Math" w:hAnsi="Cambria Math" w:eastAsia="仿宋" w:cstheme="minorBidi"/>
                    <w:kern w:val="0"/>
                    <w:sz w:val="28"/>
                    <w:szCs w:val="32"/>
                  </w:rPr>
                </m:ctrlPr>
              </m:den>
            </m:f>
            <m:ctrlPr>
              <w:rPr>
                <w:rFonts w:ascii="Cambria Math" w:hAnsi="Cambria Math" w:eastAsia="仿宋" w:cstheme="minorBidi"/>
                <w:kern w:val="0"/>
                <w:sz w:val="28"/>
                <w:szCs w:val="32"/>
              </w:rPr>
            </m:ctrlPr>
          </m:e>
        </m:rad>
      </m:oMath>
      <w:r>
        <w:rPr>
          <w:rFonts w:ascii="Times New Roman" w:hAnsi="Times New Roman" w:eastAsia="仿宋" w:cstheme="minorBidi"/>
          <w:kern w:val="0"/>
          <w:sz w:val="32"/>
          <w:szCs w:val="32"/>
        </w:rPr>
        <w:t xml:space="preserve"> -1，其中Rn代表最近一年（第n年）的营业收入</w:t>
      </w:r>
      <w:r>
        <w:rPr>
          <w:rFonts w:hint="eastAsia" w:ascii="Times New Roman" w:hAnsi="Times New Roman" w:eastAsia="仿宋" w:cstheme="minorBidi"/>
          <w:kern w:val="0"/>
          <w:sz w:val="32"/>
          <w:szCs w:val="32"/>
        </w:rPr>
        <w:t>。</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第二十八条</w:t>
      </w:r>
      <w:r>
        <w:rPr>
          <w:rFonts w:ascii="仿宋" w:hAnsi="仿宋" w:eastAsia="仿宋"/>
          <w:b/>
          <w:kern w:val="0"/>
          <w:sz w:val="32"/>
        </w:rPr>
        <w:t xml:space="preserve">  </w:t>
      </w:r>
      <w:r>
        <w:rPr>
          <w:rFonts w:ascii="Times New Roman" w:hAnsi="Times New Roman" w:eastAsia="仿宋" w:cstheme="minorBidi"/>
          <w:kern w:val="0"/>
          <w:sz w:val="32"/>
          <w:szCs w:val="32"/>
        </w:rPr>
        <w:t>本办法所称</w:t>
      </w:r>
      <w:r>
        <w:rPr>
          <w:rFonts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kern w:val="0"/>
          <w:sz w:val="32"/>
          <w:szCs w:val="32"/>
        </w:rPr>
        <w:t>不少于”、“不低于”、“以上”</w:t>
      </w:r>
      <w:r>
        <w:rPr>
          <w:rFonts w:ascii="Times New Roman" w:hAnsi="Times New Roman" w:eastAsia="仿宋" w:cstheme="minorBidi"/>
          <w:kern w:val="0"/>
          <w:sz w:val="32"/>
          <w:szCs w:val="32"/>
        </w:rPr>
        <w:t>均含本数。</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第二十九条</w:t>
      </w:r>
      <w:r>
        <w:rPr>
          <w:rFonts w:ascii="仿宋" w:hAnsi="仿宋" w:eastAsia="仿宋"/>
          <w:b/>
          <w:kern w:val="0"/>
          <w:sz w:val="32"/>
        </w:rPr>
        <w:t xml:space="preserve">  </w:t>
      </w:r>
      <w:r>
        <w:rPr>
          <w:rFonts w:ascii="Times New Roman" w:hAnsi="Times New Roman" w:eastAsia="仿宋" w:cstheme="minorBidi"/>
          <w:kern w:val="0"/>
          <w:sz w:val="32"/>
          <w:szCs w:val="32"/>
        </w:rPr>
        <w:t>本办法由全国股转公司负责解释。</w:t>
      </w:r>
    </w:p>
    <w:p>
      <w:pPr>
        <w:spacing w:line="600" w:lineRule="exact"/>
        <w:ind w:firstLine="640" w:firstLineChars="200"/>
        <w:rPr>
          <w:rFonts w:ascii="Times New Roman" w:hAnsi="Times New Roman" w:eastAsia="仿宋" w:cstheme="minorBidi"/>
          <w:kern w:val="0"/>
          <w:sz w:val="32"/>
          <w:szCs w:val="32"/>
        </w:rPr>
      </w:pPr>
      <w:r>
        <w:rPr>
          <w:rFonts w:ascii="黑体" w:hAnsi="黑体" w:eastAsia="黑体" w:cstheme="minorBidi"/>
          <w:bCs/>
          <w:kern w:val="0"/>
          <w:sz w:val="32"/>
          <w:szCs w:val="32"/>
        </w:rPr>
        <w:t>第三十条</w:t>
      </w:r>
      <w:r>
        <w:rPr>
          <w:rFonts w:ascii="仿宋" w:hAnsi="仿宋" w:eastAsia="仿宋"/>
          <w:b/>
          <w:kern w:val="0"/>
          <w:sz w:val="32"/>
        </w:rPr>
        <w:t xml:space="preserve">  </w:t>
      </w:r>
      <w:r>
        <w:rPr>
          <w:rFonts w:ascii="Times New Roman" w:hAnsi="Times New Roman" w:eastAsia="仿宋" w:cstheme="minorBidi"/>
          <w:kern w:val="0"/>
          <w:sz w:val="32"/>
          <w:szCs w:val="32"/>
        </w:rPr>
        <w:t>本办法自发布之日起施行。</w:t>
      </w:r>
    </w:p>
    <w:p>
      <w:pPr>
        <w:spacing w:line="600" w:lineRule="exact"/>
        <w:ind w:firstLine="640" w:firstLineChars="200"/>
        <w:rPr>
          <w:rFonts w:ascii="Times New Roman" w:hAnsi="Times New Roman" w:eastAsia="仿宋" w:cstheme="minorBidi"/>
          <w:kern w:val="0"/>
          <w:sz w:val="32"/>
          <w:szCs w:val="32"/>
        </w:rPr>
      </w:pPr>
    </w:p>
    <w:p>
      <w:pPr>
        <w:spacing w:line="400" w:lineRule="exact"/>
        <w:ind w:right="36" w:rightChars="17"/>
        <w:rPr>
          <w:rFonts w:ascii="Times New Roman" w:hAnsi="Times New Roman" w:eastAsia="仿宋"/>
          <w:kern w:val="0"/>
          <w:sz w:val="28"/>
          <w:szCs w:val="28"/>
        </w:rPr>
      </w:pPr>
    </w:p>
    <w:sectPr>
      <w:footerReference r:id="rId3" w:type="default"/>
      <w:footerReference r:id="rId4" w:type="even"/>
      <w:pgSz w:w="11906" w:h="16838"/>
      <w:pgMar w:top="1758" w:right="1588" w:bottom="175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11 -</w:t>
    </w:r>
    <w:r>
      <w:rPr>
        <w:rFonts w:ascii="宋体" w:hAns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608247"/>
      <w:docPartObj>
        <w:docPartGallery w:val="autotext"/>
      </w:docPartObj>
    </w:sdtPr>
    <w:sdtEndPr>
      <w:rPr>
        <w:rFonts w:ascii="宋体" w:hAnsi="宋体"/>
        <w:sz w:val="28"/>
      </w:rPr>
    </w:sdtEndPr>
    <w:sdtContent>
      <w:p>
        <w:pPr>
          <w:pStyle w:val="3"/>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rPr>
          <w:t>- 10 -</w:t>
        </w:r>
        <w:r>
          <w:rPr>
            <w:rFonts w:ascii="宋体" w:hAnsi="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1A8"/>
    <w:rsid w:val="0000084B"/>
    <w:rsid w:val="00000B4C"/>
    <w:rsid w:val="00000F40"/>
    <w:rsid w:val="000011B0"/>
    <w:rsid w:val="00001AE3"/>
    <w:rsid w:val="00001AF1"/>
    <w:rsid w:val="0000201C"/>
    <w:rsid w:val="000022C2"/>
    <w:rsid w:val="0000231C"/>
    <w:rsid w:val="0000234E"/>
    <w:rsid w:val="00002B06"/>
    <w:rsid w:val="00002CC8"/>
    <w:rsid w:val="00002FF1"/>
    <w:rsid w:val="000031CE"/>
    <w:rsid w:val="00003511"/>
    <w:rsid w:val="00003AA2"/>
    <w:rsid w:val="00003D0F"/>
    <w:rsid w:val="00003DFD"/>
    <w:rsid w:val="00003ECE"/>
    <w:rsid w:val="00004D19"/>
    <w:rsid w:val="00004E03"/>
    <w:rsid w:val="00004F41"/>
    <w:rsid w:val="00005733"/>
    <w:rsid w:val="00005E00"/>
    <w:rsid w:val="00005EE6"/>
    <w:rsid w:val="00006FA7"/>
    <w:rsid w:val="000075B8"/>
    <w:rsid w:val="00007D3D"/>
    <w:rsid w:val="000102B4"/>
    <w:rsid w:val="0001067B"/>
    <w:rsid w:val="0001132B"/>
    <w:rsid w:val="000114CC"/>
    <w:rsid w:val="000117DD"/>
    <w:rsid w:val="000117DF"/>
    <w:rsid w:val="00011AFB"/>
    <w:rsid w:val="000124E2"/>
    <w:rsid w:val="00012710"/>
    <w:rsid w:val="0001279E"/>
    <w:rsid w:val="00012BFA"/>
    <w:rsid w:val="00012E36"/>
    <w:rsid w:val="00012F97"/>
    <w:rsid w:val="00012FF3"/>
    <w:rsid w:val="00013783"/>
    <w:rsid w:val="00013A25"/>
    <w:rsid w:val="00013D29"/>
    <w:rsid w:val="000140A5"/>
    <w:rsid w:val="00014193"/>
    <w:rsid w:val="00014327"/>
    <w:rsid w:val="000144DD"/>
    <w:rsid w:val="00015E06"/>
    <w:rsid w:val="00016119"/>
    <w:rsid w:val="000163CD"/>
    <w:rsid w:val="00016457"/>
    <w:rsid w:val="00016615"/>
    <w:rsid w:val="0001686E"/>
    <w:rsid w:val="00016B6F"/>
    <w:rsid w:val="00016E9F"/>
    <w:rsid w:val="000177B3"/>
    <w:rsid w:val="00017B53"/>
    <w:rsid w:val="00017DF7"/>
    <w:rsid w:val="00017EF7"/>
    <w:rsid w:val="00020544"/>
    <w:rsid w:val="00020C74"/>
    <w:rsid w:val="00021248"/>
    <w:rsid w:val="00021EB6"/>
    <w:rsid w:val="00022568"/>
    <w:rsid w:val="00022977"/>
    <w:rsid w:val="00022F0E"/>
    <w:rsid w:val="00023393"/>
    <w:rsid w:val="0002365A"/>
    <w:rsid w:val="000236D5"/>
    <w:rsid w:val="00023918"/>
    <w:rsid w:val="00023AD1"/>
    <w:rsid w:val="00023F66"/>
    <w:rsid w:val="0002505E"/>
    <w:rsid w:val="000251DF"/>
    <w:rsid w:val="00025353"/>
    <w:rsid w:val="000253C4"/>
    <w:rsid w:val="000256D2"/>
    <w:rsid w:val="00025705"/>
    <w:rsid w:val="0002571D"/>
    <w:rsid w:val="00025B3C"/>
    <w:rsid w:val="00025EDF"/>
    <w:rsid w:val="000262A0"/>
    <w:rsid w:val="00026713"/>
    <w:rsid w:val="00026C5E"/>
    <w:rsid w:val="00026CB1"/>
    <w:rsid w:val="00027279"/>
    <w:rsid w:val="00027588"/>
    <w:rsid w:val="00027677"/>
    <w:rsid w:val="00027A68"/>
    <w:rsid w:val="00030254"/>
    <w:rsid w:val="000306E1"/>
    <w:rsid w:val="00030B02"/>
    <w:rsid w:val="00030E7F"/>
    <w:rsid w:val="00030EB9"/>
    <w:rsid w:val="000310D1"/>
    <w:rsid w:val="000310DC"/>
    <w:rsid w:val="000313AA"/>
    <w:rsid w:val="000315E0"/>
    <w:rsid w:val="000316B3"/>
    <w:rsid w:val="0003177A"/>
    <w:rsid w:val="00031819"/>
    <w:rsid w:val="00031C9E"/>
    <w:rsid w:val="0003255F"/>
    <w:rsid w:val="00032FCA"/>
    <w:rsid w:val="000330BE"/>
    <w:rsid w:val="0003343C"/>
    <w:rsid w:val="000334C4"/>
    <w:rsid w:val="00033AF1"/>
    <w:rsid w:val="00033CDD"/>
    <w:rsid w:val="0003452A"/>
    <w:rsid w:val="0003457F"/>
    <w:rsid w:val="000348DE"/>
    <w:rsid w:val="00034B88"/>
    <w:rsid w:val="00034CB4"/>
    <w:rsid w:val="00034DC5"/>
    <w:rsid w:val="00034F7E"/>
    <w:rsid w:val="000350FA"/>
    <w:rsid w:val="00035197"/>
    <w:rsid w:val="000351CB"/>
    <w:rsid w:val="00035412"/>
    <w:rsid w:val="00035624"/>
    <w:rsid w:val="0003596A"/>
    <w:rsid w:val="000359E1"/>
    <w:rsid w:val="00035AA3"/>
    <w:rsid w:val="00035B5E"/>
    <w:rsid w:val="00035D25"/>
    <w:rsid w:val="00036608"/>
    <w:rsid w:val="000377D0"/>
    <w:rsid w:val="00037C37"/>
    <w:rsid w:val="00037C48"/>
    <w:rsid w:val="000406E0"/>
    <w:rsid w:val="00040916"/>
    <w:rsid w:val="00040925"/>
    <w:rsid w:val="0004097E"/>
    <w:rsid w:val="00040A29"/>
    <w:rsid w:val="00041029"/>
    <w:rsid w:val="0004128E"/>
    <w:rsid w:val="00041326"/>
    <w:rsid w:val="0004156D"/>
    <w:rsid w:val="000416B0"/>
    <w:rsid w:val="0004176A"/>
    <w:rsid w:val="0004183C"/>
    <w:rsid w:val="00041A2A"/>
    <w:rsid w:val="00041FE6"/>
    <w:rsid w:val="00042169"/>
    <w:rsid w:val="00042AA7"/>
    <w:rsid w:val="00042B86"/>
    <w:rsid w:val="000431FB"/>
    <w:rsid w:val="0004340B"/>
    <w:rsid w:val="00043DE0"/>
    <w:rsid w:val="0004477C"/>
    <w:rsid w:val="00044F74"/>
    <w:rsid w:val="00045691"/>
    <w:rsid w:val="00045718"/>
    <w:rsid w:val="00045C25"/>
    <w:rsid w:val="0004623F"/>
    <w:rsid w:val="00046283"/>
    <w:rsid w:val="000464E4"/>
    <w:rsid w:val="0004678F"/>
    <w:rsid w:val="00046BC2"/>
    <w:rsid w:val="00047095"/>
    <w:rsid w:val="00047167"/>
    <w:rsid w:val="00047315"/>
    <w:rsid w:val="00047505"/>
    <w:rsid w:val="00047B29"/>
    <w:rsid w:val="000501AA"/>
    <w:rsid w:val="0005023A"/>
    <w:rsid w:val="00050469"/>
    <w:rsid w:val="00050750"/>
    <w:rsid w:val="00050AAF"/>
    <w:rsid w:val="000511F9"/>
    <w:rsid w:val="00051278"/>
    <w:rsid w:val="000514DF"/>
    <w:rsid w:val="000515D0"/>
    <w:rsid w:val="0005175C"/>
    <w:rsid w:val="00051EA7"/>
    <w:rsid w:val="00051F06"/>
    <w:rsid w:val="000525F0"/>
    <w:rsid w:val="000528B8"/>
    <w:rsid w:val="000528EC"/>
    <w:rsid w:val="00052A13"/>
    <w:rsid w:val="000530B5"/>
    <w:rsid w:val="00053291"/>
    <w:rsid w:val="0005332D"/>
    <w:rsid w:val="000533BD"/>
    <w:rsid w:val="00053E25"/>
    <w:rsid w:val="000545E7"/>
    <w:rsid w:val="0005478C"/>
    <w:rsid w:val="00055B14"/>
    <w:rsid w:val="00056085"/>
    <w:rsid w:val="000563EF"/>
    <w:rsid w:val="00056F0E"/>
    <w:rsid w:val="00056FFB"/>
    <w:rsid w:val="00057221"/>
    <w:rsid w:val="000574CB"/>
    <w:rsid w:val="00057583"/>
    <w:rsid w:val="000578D6"/>
    <w:rsid w:val="0005799C"/>
    <w:rsid w:val="00060087"/>
    <w:rsid w:val="000600FC"/>
    <w:rsid w:val="00060681"/>
    <w:rsid w:val="000613CB"/>
    <w:rsid w:val="00061835"/>
    <w:rsid w:val="00061C8F"/>
    <w:rsid w:val="000625E4"/>
    <w:rsid w:val="00062AAC"/>
    <w:rsid w:val="00062D2A"/>
    <w:rsid w:val="00062DE9"/>
    <w:rsid w:val="00063174"/>
    <w:rsid w:val="0006318D"/>
    <w:rsid w:val="000635F5"/>
    <w:rsid w:val="0006374F"/>
    <w:rsid w:val="00063E87"/>
    <w:rsid w:val="0006466E"/>
    <w:rsid w:val="000648C3"/>
    <w:rsid w:val="00064B7B"/>
    <w:rsid w:val="00064D15"/>
    <w:rsid w:val="00064E40"/>
    <w:rsid w:val="00065165"/>
    <w:rsid w:val="00065C41"/>
    <w:rsid w:val="00065DAB"/>
    <w:rsid w:val="00066246"/>
    <w:rsid w:val="000663F8"/>
    <w:rsid w:val="000667FC"/>
    <w:rsid w:val="00066C3F"/>
    <w:rsid w:val="000675BA"/>
    <w:rsid w:val="00067635"/>
    <w:rsid w:val="00067BD1"/>
    <w:rsid w:val="000704A8"/>
    <w:rsid w:val="000707A3"/>
    <w:rsid w:val="00070CB6"/>
    <w:rsid w:val="00070DD1"/>
    <w:rsid w:val="00070EF4"/>
    <w:rsid w:val="00071311"/>
    <w:rsid w:val="00071631"/>
    <w:rsid w:val="00071ADD"/>
    <w:rsid w:val="00071C28"/>
    <w:rsid w:val="00071C9C"/>
    <w:rsid w:val="00071DDA"/>
    <w:rsid w:val="00072278"/>
    <w:rsid w:val="00072349"/>
    <w:rsid w:val="00072AD5"/>
    <w:rsid w:val="00073185"/>
    <w:rsid w:val="00073313"/>
    <w:rsid w:val="00073ADF"/>
    <w:rsid w:val="00073C5C"/>
    <w:rsid w:val="000742CC"/>
    <w:rsid w:val="00074C07"/>
    <w:rsid w:val="00074FBC"/>
    <w:rsid w:val="00075BEB"/>
    <w:rsid w:val="00075D17"/>
    <w:rsid w:val="00075DDE"/>
    <w:rsid w:val="000767B4"/>
    <w:rsid w:val="00076B4A"/>
    <w:rsid w:val="00077049"/>
    <w:rsid w:val="000770D6"/>
    <w:rsid w:val="0007731F"/>
    <w:rsid w:val="0007738B"/>
    <w:rsid w:val="0007756A"/>
    <w:rsid w:val="00077B36"/>
    <w:rsid w:val="00077E7F"/>
    <w:rsid w:val="00077EB3"/>
    <w:rsid w:val="00080037"/>
    <w:rsid w:val="000804C3"/>
    <w:rsid w:val="000805B9"/>
    <w:rsid w:val="00080960"/>
    <w:rsid w:val="00080DEA"/>
    <w:rsid w:val="00080E1A"/>
    <w:rsid w:val="00080F90"/>
    <w:rsid w:val="00081324"/>
    <w:rsid w:val="0008169C"/>
    <w:rsid w:val="00081812"/>
    <w:rsid w:val="00081928"/>
    <w:rsid w:val="00081B58"/>
    <w:rsid w:val="00081E59"/>
    <w:rsid w:val="00082D30"/>
    <w:rsid w:val="0008341A"/>
    <w:rsid w:val="0008345F"/>
    <w:rsid w:val="000835E2"/>
    <w:rsid w:val="000836AE"/>
    <w:rsid w:val="0008422B"/>
    <w:rsid w:val="0008477E"/>
    <w:rsid w:val="00084852"/>
    <w:rsid w:val="00085A81"/>
    <w:rsid w:val="00085CBB"/>
    <w:rsid w:val="00085FCA"/>
    <w:rsid w:val="000867AC"/>
    <w:rsid w:val="000874E9"/>
    <w:rsid w:val="000878C5"/>
    <w:rsid w:val="00087D53"/>
    <w:rsid w:val="0009056B"/>
    <w:rsid w:val="00090A5F"/>
    <w:rsid w:val="000914B4"/>
    <w:rsid w:val="00092241"/>
    <w:rsid w:val="000926F9"/>
    <w:rsid w:val="00092880"/>
    <w:rsid w:val="00092960"/>
    <w:rsid w:val="00093362"/>
    <w:rsid w:val="00093565"/>
    <w:rsid w:val="0009364C"/>
    <w:rsid w:val="0009378D"/>
    <w:rsid w:val="000938CF"/>
    <w:rsid w:val="00093DA0"/>
    <w:rsid w:val="00093F1D"/>
    <w:rsid w:val="00094488"/>
    <w:rsid w:val="000948AE"/>
    <w:rsid w:val="000949BD"/>
    <w:rsid w:val="000952D0"/>
    <w:rsid w:val="000953D9"/>
    <w:rsid w:val="00095981"/>
    <w:rsid w:val="00095A18"/>
    <w:rsid w:val="00096730"/>
    <w:rsid w:val="0009684B"/>
    <w:rsid w:val="00096975"/>
    <w:rsid w:val="00096DA4"/>
    <w:rsid w:val="00096EA8"/>
    <w:rsid w:val="00096F19"/>
    <w:rsid w:val="00097015"/>
    <w:rsid w:val="0009715C"/>
    <w:rsid w:val="00097900"/>
    <w:rsid w:val="000979F3"/>
    <w:rsid w:val="000A0493"/>
    <w:rsid w:val="000A05BD"/>
    <w:rsid w:val="000A06B3"/>
    <w:rsid w:val="000A0856"/>
    <w:rsid w:val="000A0912"/>
    <w:rsid w:val="000A0CBE"/>
    <w:rsid w:val="000A1408"/>
    <w:rsid w:val="000A14FC"/>
    <w:rsid w:val="000A154B"/>
    <w:rsid w:val="000A1CF3"/>
    <w:rsid w:val="000A1EC4"/>
    <w:rsid w:val="000A230C"/>
    <w:rsid w:val="000A27D5"/>
    <w:rsid w:val="000A2AA5"/>
    <w:rsid w:val="000A2C27"/>
    <w:rsid w:val="000A3311"/>
    <w:rsid w:val="000A3A91"/>
    <w:rsid w:val="000A3C01"/>
    <w:rsid w:val="000A4555"/>
    <w:rsid w:val="000A4800"/>
    <w:rsid w:val="000A4B0E"/>
    <w:rsid w:val="000A4C8C"/>
    <w:rsid w:val="000A5F56"/>
    <w:rsid w:val="000A61B4"/>
    <w:rsid w:val="000A68B6"/>
    <w:rsid w:val="000A70BE"/>
    <w:rsid w:val="000A79F3"/>
    <w:rsid w:val="000B0935"/>
    <w:rsid w:val="000B1110"/>
    <w:rsid w:val="000B13B0"/>
    <w:rsid w:val="000B1644"/>
    <w:rsid w:val="000B16F3"/>
    <w:rsid w:val="000B1D18"/>
    <w:rsid w:val="000B2000"/>
    <w:rsid w:val="000B21C9"/>
    <w:rsid w:val="000B27DA"/>
    <w:rsid w:val="000B356C"/>
    <w:rsid w:val="000B37AA"/>
    <w:rsid w:val="000B3826"/>
    <w:rsid w:val="000B3B67"/>
    <w:rsid w:val="000B435C"/>
    <w:rsid w:val="000B4399"/>
    <w:rsid w:val="000B4853"/>
    <w:rsid w:val="000B4EDC"/>
    <w:rsid w:val="000B5160"/>
    <w:rsid w:val="000B52DC"/>
    <w:rsid w:val="000B582D"/>
    <w:rsid w:val="000B5BF7"/>
    <w:rsid w:val="000B5EAA"/>
    <w:rsid w:val="000B6108"/>
    <w:rsid w:val="000B62F0"/>
    <w:rsid w:val="000B667B"/>
    <w:rsid w:val="000B711D"/>
    <w:rsid w:val="000B71C8"/>
    <w:rsid w:val="000B71E9"/>
    <w:rsid w:val="000B749D"/>
    <w:rsid w:val="000B79CC"/>
    <w:rsid w:val="000C008B"/>
    <w:rsid w:val="000C017C"/>
    <w:rsid w:val="000C046A"/>
    <w:rsid w:val="000C06E4"/>
    <w:rsid w:val="000C1008"/>
    <w:rsid w:val="000C11A2"/>
    <w:rsid w:val="000C11A6"/>
    <w:rsid w:val="000C12DB"/>
    <w:rsid w:val="000C16DC"/>
    <w:rsid w:val="000C240C"/>
    <w:rsid w:val="000C27E8"/>
    <w:rsid w:val="000C28BE"/>
    <w:rsid w:val="000C3AA8"/>
    <w:rsid w:val="000C3B59"/>
    <w:rsid w:val="000C3C95"/>
    <w:rsid w:val="000C3EA8"/>
    <w:rsid w:val="000C446C"/>
    <w:rsid w:val="000C47AE"/>
    <w:rsid w:val="000C4957"/>
    <w:rsid w:val="000C4A67"/>
    <w:rsid w:val="000C5147"/>
    <w:rsid w:val="000C5B14"/>
    <w:rsid w:val="000C6818"/>
    <w:rsid w:val="000C6D44"/>
    <w:rsid w:val="000C6E57"/>
    <w:rsid w:val="000C7A64"/>
    <w:rsid w:val="000D0391"/>
    <w:rsid w:val="000D0D39"/>
    <w:rsid w:val="000D1226"/>
    <w:rsid w:val="000D132C"/>
    <w:rsid w:val="000D1832"/>
    <w:rsid w:val="000D1E0F"/>
    <w:rsid w:val="000D20C7"/>
    <w:rsid w:val="000D229B"/>
    <w:rsid w:val="000D3843"/>
    <w:rsid w:val="000D3A64"/>
    <w:rsid w:val="000D418A"/>
    <w:rsid w:val="000D498C"/>
    <w:rsid w:val="000D56B6"/>
    <w:rsid w:val="000D60A0"/>
    <w:rsid w:val="000D60A9"/>
    <w:rsid w:val="000D63F3"/>
    <w:rsid w:val="000D7094"/>
    <w:rsid w:val="000D7204"/>
    <w:rsid w:val="000D73ED"/>
    <w:rsid w:val="000D7B7F"/>
    <w:rsid w:val="000D7EE0"/>
    <w:rsid w:val="000E03DB"/>
    <w:rsid w:val="000E1292"/>
    <w:rsid w:val="000E17F9"/>
    <w:rsid w:val="000E23C8"/>
    <w:rsid w:val="000E241B"/>
    <w:rsid w:val="000E25A5"/>
    <w:rsid w:val="000E28A7"/>
    <w:rsid w:val="000E28EC"/>
    <w:rsid w:val="000E2E49"/>
    <w:rsid w:val="000E3134"/>
    <w:rsid w:val="000E3F52"/>
    <w:rsid w:val="000E4203"/>
    <w:rsid w:val="000E423A"/>
    <w:rsid w:val="000E556C"/>
    <w:rsid w:val="000E58B8"/>
    <w:rsid w:val="000E5F33"/>
    <w:rsid w:val="000E64DC"/>
    <w:rsid w:val="000E6E4C"/>
    <w:rsid w:val="000E72C9"/>
    <w:rsid w:val="000E72D0"/>
    <w:rsid w:val="000E7832"/>
    <w:rsid w:val="000F041D"/>
    <w:rsid w:val="000F0A79"/>
    <w:rsid w:val="000F0D9A"/>
    <w:rsid w:val="000F0DC4"/>
    <w:rsid w:val="000F0EE6"/>
    <w:rsid w:val="000F0EFE"/>
    <w:rsid w:val="000F1029"/>
    <w:rsid w:val="000F151C"/>
    <w:rsid w:val="000F1B08"/>
    <w:rsid w:val="000F1B3F"/>
    <w:rsid w:val="000F246D"/>
    <w:rsid w:val="000F2C4C"/>
    <w:rsid w:val="000F2D51"/>
    <w:rsid w:val="000F2D9C"/>
    <w:rsid w:val="000F3014"/>
    <w:rsid w:val="000F315B"/>
    <w:rsid w:val="000F34B5"/>
    <w:rsid w:val="000F3611"/>
    <w:rsid w:val="000F3DEC"/>
    <w:rsid w:val="000F3F3A"/>
    <w:rsid w:val="000F4140"/>
    <w:rsid w:val="000F4620"/>
    <w:rsid w:val="000F49D8"/>
    <w:rsid w:val="000F5556"/>
    <w:rsid w:val="000F55BD"/>
    <w:rsid w:val="000F593E"/>
    <w:rsid w:val="000F6288"/>
    <w:rsid w:val="000F659D"/>
    <w:rsid w:val="000F72BF"/>
    <w:rsid w:val="000F7316"/>
    <w:rsid w:val="000F7C44"/>
    <w:rsid w:val="000F7D6A"/>
    <w:rsid w:val="00100376"/>
    <w:rsid w:val="00101F50"/>
    <w:rsid w:val="001027B2"/>
    <w:rsid w:val="00102A63"/>
    <w:rsid w:val="00102B69"/>
    <w:rsid w:val="00102DB8"/>
    <w:rsid w:val="00102E92"/>
    <w:rsid w:val="0010345C"/>
    <w:rsid w:val="001037FA"/>
    <w:rsid w:val="00103861"/>
    <w:rsid w:val="001039BD"/>
    <w:rsid w:val="00103A21"/>
    <w:rsid w:val="00104023"/>
    <w:rsid w:val="0010434B"/>
    <w:rsid w:val="001053E1"/>
    <w:rsid w:val="00105744"/>
    <w:rsid w:val="0010613F"/>
    <w:rsid w:val="0010626F"/>
    <w:rsid w:val="001067E1"/>
    <w:rsid w:val="00107048"/>
    <w:rsid w:val="001072E4"/>
    <w:rsid w:val="00107ABC"/>
    <w:rsid w:val="0011008B"/>
    <w:rsid w:val="00110389"/>
    <w:rsid w:val="001103A2"/>
    <w:rsid w:val="001104A0"/>
    <w:rsid w:val="00111415"/>
    <w:rsid w:val="00111581"/>
    <w:rsid w:val="00111642"/>
    <w:rsid w:val="001121F9"/>
    <w:rsid w:val="00112483"/>
    <w:rsid w:val="001125B5"/>
    <w:rsid w:val="001136DB"/>
    <w:rsid w:val="00113E16"/>
    <w:rsid w:val="00114832"/>
    <w:rsid w:val="001149B2"/>
    <w:rsid w:val="00114BC0"/>
    <w:rsid w:val="00114F09"/>
    <w:rsid w:val="00115121"/>
    <w:rsid w:val="001159AA"/>
    <w:rsid w:val="00115FDF"/>
    <w:rsid w:val="001165CB"/>
    <w:rsid w:val="00116AE1"/>
    <w:rsid w:val="00116D3E"/>
    <w:rsid w:val="00116FC9"/>
    <w:rsid w:val="00117480"/>
    <w:rsid w:val="00117488"/>
    <w:rsid w:val="00117F9C"/>
    <w:rsid w:val="001200B5"/>
    <w:rsid w:val="001205A3"/>
    <w:rsid w:val="00121359"/>
    <w:rsid w:val="00121750"/>
    <w:rsid w:val="00121CE9"/>
    <w:rsid w:val="00121FB6"/>
    <w:rsid w:val="00121FE0"/>
    <w:rsid w:val="0012204B"/>
    <w:rsid w:val="001220E6"/>
    <w:rsid w:val="0012224F"/>
    <w:rsid w:val="00122338"/>
    <w:rsid w:val="001223AD"/>
    <w:rsid w:val="0012267F"/>
    <w:rsid w:val="001226DB"/>
    <w:rsid w:val="001228EF"/>
    <w:rsid w:val="00122C32"/>
    <w:rsid w:val="00122ED9"/>
    <w:rsid w:val="001235C9"/>
    <w:rsid w:val="00123850"/>
    <w:rsid w:val="00123DA8"/>
    <w:rsid w:val="00123EB5"/>
    <w:rsid w:val="00123EF9"/>
    <w:rsid w:val="00123F60"/>
    <w:rsid w:val="00124449"/>
    <w:rsid w:val="0012454B"/>
    <w:rsid w:val="00124B0C"/>
    <w:rsid w:val="0012558A"/>
    <w:rsid w:val="00125EF1"/>
    <w:rsid w:val="00126749"/>
    <w:rsid w:val="00126771"/>
    <w:rsid w:val="00126850"/>
    <w:rsid w:val="00126AF9"/>
    <w:rsid w:val="00126F8E"/>
    <w:rsid w:val="00127067"/>
    <w:rsid w:val="001274DC"/>
    <w:rsid w:val="0013004A"/>
    <w:rsid w:val="00130371"/>
    <w:rsid w:val="001306AD"/>
    <w:rsid w:val="00130AC5"/>
    <w:rsid w:val="00130AF0"/>
    <w:rsid w:val="00130B97"/>
    <w:rsid w:val="0013176B"/>
    <w:rsid w:val="00131965"/>
    <w:rsid w:val="00131A5B"/>
    <w:rsid w:val="00131C2F"/>
    <w:rsid w:val="00131C66"/>
    <w:rsid w:val="00131FD5"/>
    <w:rsid w:val="00131FE7"/>
    <w:rsid w:val="001323E3"/>
    <w:rsid w:val="0013370F"/>
    <w:rsid w:val="00133859"/>
    <w:rsid w:val="00133F17"/>
    <w:rsid w:val="00134179"/>
    <w:rsid w:val="001341EF"/>
    <w:rsid w:val="0013424F"/>
    <w:rsid w:val="00134253"/>
    <w:rsid w:val="001347F2"/>
    <w:rsid w:val="001349AA"/>
    <w:rsid w:val="00134B53"/>
    <w:rsid w:val="00134EB6"/>
    <w:rsid w:val="001351B4"/>
    <w:rsid w:val="00135635"/>
    <w:rsid w:val="00136011"/>
    <w:rsid w:val="00136014"/>
    <w:rsid w:val="0013615F"/>
    <w:rsid w:val="00136471"/>
    <w:rsid w:val="0013674C"/>
    <w:rsid w:val="001367DD"/>
    <w:rsid w:val="00136E41"/>
    <w:rsid w:val="00136FD9"/>
    <w:rsid w:val="001370CA"/>
    <w:rsid w:val="00137149"/>
    <w:rsid w:val="00137C57"/>
    <w:rsid w:val="0014002E"/>
    <w:rsid w:val="00140046"/>
    <w:rsid w:val="00140260"/>
    <w:rsid w:val="0014063E"/>
    <w:rsid w:val="001409C7"/>
    <w:rsid w:val="00140F78"/>
    <w:rsid w:val="00140FA2"/>
    <w:rsid w:val="00140FAE"/>
    <w:rsid w:val="001413E8"/>
    <w:rsid w:val="001417F6"/>
    <w:rsid w:val="0014196E"/>
    <w:rsid w:val="00141A3D"/>
    <w:rsid w:val="00141AAB"/>
    <w:rsid w:val="001420FC"/>
    <w:rsid w:val="001421AB"/>
    <w:rsid w:val="00142479"/>
    <w:rsid w:val="00142A8D"/>
    <w:rsid w:val="00142CCE"/>
    <w:rsid w:val="0014323C"/>
    <w:rsid w:val="00143638"/>
    <w:rsid w:val="00144183"/>
    <w:rsid w:val="001444DE"/>
    <w:rsid w:val="00145433"/>
    <w:rsid w:val="00146009"/>
    <w:rsid w:val="001465B5"/>
    <w:rsid w:val="00146703"/>
    <w:rsid w:val="00146B16"/>
    <w:rsid w:val="0014751A"/>
    <w:rsid w:val="00150026"/>
    <w:rsid w:val="001501C9"/>
    <w:rsid w:val="00150260"/>
    <w:rsid w:val="00150BD0"/>
    <w:rsid w:val="00150C13"/>
    <w:rsid w:val="001516B7"/>
    <w:rsid w:val="0015190D"/>
    <w:rsid w:val="0015191E"/>
    <w:rsid w:val="001525AB"/>
    <w:rsid w:val="00152B86"/>
    <w:rsid w:val="00153505"/>
    <w:rsid w:val="00153967"/>
    <w:rsid w:val="00153E48"/>
    <w:rsid w:val="00154319"/>
    <w:rsid w:val="00154AF3"/>
    <w:rsid w:val="00154B61"/>
    <w:rsid w:val="00154EFD"/>
    <w:rsid w:val="00155052"/>
    <w:rsid w:val="00155265"/>
    <w:rsid w:val="001552EA"/>
    <w:rsid w:val="0015530B"/>
    <w:rsid w:val="001558EF"/>
    <w:rsid w:val="001559C9"/>
    <w:rsid w:val="00156ABD"/>
    <w:rsid w:val="00156E3C"/>
    <w:rsid w:val="001570A9"/>
    <w:rsid w:val="001570B0"/>
    <w:rsid w:val="00157305"/>
    <w:rsid w:val="00157D47"/>
    <w:rsid w:val="00160720"/>
    <w:rsid w:val="0016074F"/>
    <w:rsid w:val="0016082F"/>
    <w:rsid w:val="001608C8"/>
    <w:rsid w:val="00160BF3"/>
    <w:rsid w:val="00160E73"/>
    <w:rsid w:val="0016127F"/>
    <w:rsid w:val="00162935"/>
    <w:rsid w:val="00162AC0"/>
    <w:rsid w:val="001630A8"/>
    <w:rsid w:val="00163262"/>
    <w:rsid w:val="0016345C"/>
    <w:rsid w:val="0016360E"/>
    <w:rsid w:val="00163968"/>
    <w:rsid w:val="00163E8D"/>
    <w:rsid w:val="00163FBB"/>
    <w:rsid w:val="001648DB"/>
    <w:rsid w:val="001649A4"/>
    <w:rsid w:val="00164EA9"/>
    <w:rsid w:val="001655BF"/>
    <w:rsid w:val="001657A0"/>
    <w:rsid w:val="00165E5A"/>
    <w:rsid w:val="001660D9"/>
    <w:rsid w:val="001662D2"/>
    <w:rsid w:val="00167296"/>
    <w:rsid w:val="0016749E"/>
    <w:rsid w:val="00167905"/>
    <w:rsid w:val="00170142"/>
    <w:rsid w:val="001705E2"/>
    <w:rsid w:val="00170985"/>
    <w:rsid w:val="00170B0E"/>
    <w:rsid w:val="00170F03"/>
    <w:rsid w:val="001710AF"/>
    <w:rsid w:val="00171263"/>
    <w:rsid w:val="001713B1"/>
    <w:rsid w:val="00171CF4"/>
    <w:rsid w:val="00171D20"/>
    <w:rsid w:val="001720DC"/>
    <w:rsid w:val="001732C7"/>
    <w:rsid w:val="0017385B"/>
    <w:rsid w:val="00173A8B"/>
    <w:rsid w:val="00173B23"/>
    <w:rsid w:val="00174126"/>
    <w:rsid w:val="001742DA"/>
    <w:rsid w:val="00174761"/>
    <w:rsid w:val="0017543B"/>
    <w:rsid w:val="0017553A"/>
    <w:rsid w:val="001756D7"/>
    <w:rsid w:val="001768E2"/>
    <w:rsid w:val="001772FB"/>
    <w:rsid w:val="00177DEB"/>
    <w:rsid w:val="0018036B"/>
    <w:rsid w:val="001807C1"/>
    <w:rsid w:val="00180C16"/>
    <w:rsid w:val="00180D86"/>
    <w:rsid w:val="00181380"/>
    <w:rsid w:val="00181BA0"/>
    <w:rsid w:val="0018254B"/>
    <w:rsid w:val="0018329C"/>
    <w:rsid w:val="001833B2"/>
    <w:rsid w:val="0018379E"/>
    <w:rsid w:val="001838B9"/>
    <w:rsid w:val="0018408C"/>
    <w:rsid w:val="00184F1F"/>
    <w:rsid w:val="00185200"/>
    <w:rsid w:val="001854FF"/>
    <w:rsid w:val="001856EA"/>
    <w:rsid w:val="001860A7"/>
    <w:rsid w:val="0018614E"/>
    <w:rsid w:val="00186237"/>
    <w:rsid w:val="001868F6"/>
    <w:rsid w:val="00186A47"/>
    <w:rsid w:val="00186A6F"/>
    <w:rsid w:val="00186E04"/>
    <w:rsid w:val="00187348"/>
    <w:rsid w:val="00187AA4"/>
    <w:rsid w:val="001903CD"/>
    <w:rsid w:val="00190885"/>
    <w:rsid w:val="00190FA5"/>
    <w:rsid w:val="00191C2B"/>
    <w:rsid w:val="0019236D"/>
    <w:rsid w:val="001924A3"/>
    <w:rsid w:val="0019258E"/>
    <w:rsid w:val="00192929"/>
    <w:rsid w:val="001931B8"/>
    <w:rsid w:val="00193A70"/>
    <w:rsid w:val="00193C58"/>
    <w:rsid w:val="00193CB7"/>
    <w:rsid w:val="00193F53"/>
    <w:rsid w:val="0019419C"/>
    <w:rsid w:val="00194407"/>
    <w:rsid w:val="001947B8"/>
    <w:rsid w:val="00194B09"/>
    <w:rsid w:val="00194F2E"/>
    <w:rsid w:val="0019559B"/>
    <w:rsid w:val="00195774"/>
    <w:rsid w:val="0019598A"/>
    <w:rsid w:val="00195BBE"/>
    <w:rsid w:val="00196309"/>
    <w:rsid w:val="00196600"/>
    <w:rsid w:val="0019696C"/>
    <w:rsid w:val="00196EA5"/>
    <w:rsid w:val="001974DB"/>
    <w:rsid w:val="00197540"/>
    <w:rsid w:val="0019773B"/>
    <w:rsid w:val="00197826"/>
    <w:rsid w:val="001A02AB"/>
    <w:rsid w:val="001A0346"/>
    <w:rsid w:val="001A0CF6"/>
    <w:rsid w:val="001A0F98"/>
    <w:rsid w:val="001A12A8"/>
    <w:rsid w:val="001A12EC"/>
    <w:rsid w:val="001A1345"/>
    <w:rsid w:val="001A19C2"/>
    <w:rsid w:val="001A1F08"/>
    <w:rsid w:val="001A240B"/>
    <w:rsid w:val="001A25EF"/>
    <w:rsid w:val="001A268E"/>
    <w:rsid w:val="001A29F1"/>
    <w:rsid w:val="001A2E3C"/>
    <w:rsid w:val="001A2E5E"/>
    <w:rsid w:val="001A2ED5"/>
    <w:rsid w:val="001A3256"/>
    <w:rsid w:val="001A3A49"/>
    <w:rsid w:val="001A3A76"/>
    <w:rsid w:val="001A3B5C"/>
    <w:rsid w:val="001A4206"/>
    <w:rsid w:val="001A4995"/>
    <w:rsid w:val="001A4DE2"/>
    <w:rsid w:val="001A4EC6"/>
    <w:rsid w:val="001A51F4"/>
    <w:rsid w:val="001A53D6"/>
    <w:rsid w:val="001A5472"/>
    <w:rsid w:val="001A5588"/>
    <w:rsid w:val="001A6226"/>
    <w:rsid w:val="001A6915"/>
    <w:rsid w:val="001A69F2"/>
    <w:rsid w:val="001A6BD5"/>
    <w:rsid w:val="001A6DD1"/>
    <w:rsid w:val="001A74B6"/>
    <w:rsid w:val="001A7919"/>
    <w:rsid w:val="001B0061"/>
    <w:rsid w:val="001B041D"/>
    <w:rsid w:val="001B06FC"/>
    <w:rsid w:val="001B09C3"/>
    <w:rsid w:val="001B0CCF"/>
    <w:rsid w:val="001B0CD9"/>
    <w:rsid w:val="001B0E33"/>
    <w:rsid w:val="001B1714"/>
    <w:rsid w:val="001B186B"/>
    <w:rsid w:val="001B189A"/>
    <w:rsid w:val="001B2A3D"/>
    <w:rsid w:val="001B2EB3"/>
    <w:rsid w:val="001B2FFB"/>
    <w:rsid w:val="001B35B4"/>
    <w:rsid w:val="001B36DE"/>
    <w:rsid w:val="001B3EC4"/>
    <w:rsid w:val="001B41F8"/>
    <w:rsid w:val="001B4AD4"/>
    <w:rsid w:val="001B4B44"/>
    <w:rsid w:val="001B4FA5"/>
    <w:rsid w:val="001B5284"/>
    <w:rsid w:val="001B59DD"/>
    <w:rsid w:val="001B6054"/>
    <w:rsid w:val="001B6481"/>
    <w:rsid w:val="001B64C0"/>
    <w:rsid w:val="001B65FD"/>
    <w:rsid w:val="001B6C44"/>
    <w:rsid w:val="001B6C5E"/>
    <w:rsid w:val="001B73AB"/>
    <w:rsid w:val="001B77CA"/>
    <w:rsid w:val="001B7CCF"/>
    <w:rsid w:val="001C0AFF"/>
    <w:rsid w:val="001C0BDA"/>
    <w:rsid w:val="001C0D4E"/>
    <w:rsid w:val="001C0E3C"/>
    <w:rsid w:val="001C0F46"/>
    <w:rsid w:val="001C0F86"/>
    <w:rsid w:val="001C16D7"/>
    <w:rsid w:val="001C1AED"/>
    <w:rsid w:val="001C1C97"/>
    <w:rsid w:val="001C1FF7"/>
    <w:rsid w:val="001C2655"/>
    <w:rsid w:val="001C26B1"/>
    <w:rsid w:val="001C26F3"/>
    <w:rsid w:val="001C2978"/>
    <w:rsid w:val="001C2BDD"/>
    <w:rsid w:val="001C32C6"/>
    <w:rsid w:val="001C34C1"/>
    <w:rsid w:val="001C3A20"/>
    <w:rsid w:val="001C3A53"/>
    <w:rsid w:val="001C3B47"/>
    <w:rsid w:val="001C3EA7"/>
    <w:rsid w:val="001C3EE1"/>
    <w:rsid w:val="001C42D0"/>
    <w:rsid w:val="001C4670"/>
    <w:rsid w:val="001C4882"/>
    <w:rsid w:val="001C490D"/>
    <w:rsid w:val="001C4F64"/>
    <w:rsid w:val="001C5656"/>
    <w:rsid w:val="001C5860"/>
    <w:rsid w:val="001C5EBF"/>
    <w:rsid w:val="001C611E"/>
    <w:rsid w:val="001C6254"/>
    <w:rsid w:val="001C662A"/>
    <w:rsid w:val="001C6780"/>
    <w:rsid w:val="001C6833"/>
    <w:rsid w:val="001C6940"/>
    <w:rsid w:val="001C6E16"/>
    <w:rsid w:val="001C7030"/>
    <w:rsid w:val="001C7640"/>
    <w:rsid w:val="001C7D87"/>
    <w:rsid w:val="001C7F38"/>
    <w:rsid w:val="001D0454"/>
    <w:rsid w:val="001D04D3"/>
    <w:rsid w:val="001D0BB6"/>
    <w:rsid w:val="001D0BB9"/>
    <w:rsid w:val="001D0EE5"/>
    <w:rsid w:val="001D1007"/>
    <w:rsid w:val="001D11CB"/>
    <w:rsid w:val="001D11E3"/>
    <w:rsid w:val="001D16BF"/>
    <w:rsid w:val="001D1DB2"/>
    <w:rsid w:val="001D1E8C"/>
    <w:rsid w:val="001D1F3C"/>
    <w:rsid w:val="001D2617"/>
    <w:rsid w:val="001D2CDF"/>
    <w:rsid w:val="001D2E68"/>
    <w:rsid w:val="001D301F"/>
    <w:rsid w:val="001D3237"/>
    <w:rsid w:val="001D3485"/>
    <w:rsid w:val="001D34B8"/>
    <w:rsid w:val="001D3A0F"/>
    <w:rsid w:val="001D3A36"/>
    <w:rsid w:val="001D3C79"/>
    <w:rsid w:val="001D43F0"/>
    <w:rsid w:val="001D44D0"/>
    <w:rsid w:val="001D44F5"/>
    <w:rsid w:val="001D477C"/>
    <w:rsid w:val="001D47AE"/>
    <w:rsid w:val="001D4FE5"/>
    <w:rsid w:val="001D5282"/>
    <w:rsid w:val="001D53AD"/>
    <w:rsid w:val="001D5556"/>
    <w:rsid w:val="001D5D75"/>
    <w:rsid w:val="001D5EA1"/>
    <w:rsid w:val="001D6622"/>
    <w:rsid w:val="001D663C"/>
    <w:rsid w:val="001D67C3"/>
    <w:rsid w:val="001D67F9"/>
    <w:rsid w:val="001D6961"/>
    <w:rsid w:val="001D6D6A"/>
    <w:rsid w:val="001D7012"/>
    <w:rsid w:val="001D70C5"/>
    <w:rsid w:val="001D74B0"/>
    <w:rsid w:val="001D7AC7"/>
    <w:rsid w:val="001D7DA7"/>
    <w:rsid w:val="001D7F11"/>
    <w:rsid w:val="001E05E1"/>
    <w:rsid w:val="001E08A2"/>
    <w:rsid w:val="001E0B46"/>
    <w:rsid w:val="001E0D34"/>
    <w:rsid w:val="001E1725"/>
    <w:rsid w:val="001E194A"/>
    <w:rsid w:val="001E1F47"/>
    <w:rsid w:val="001E23C5"/>
    <w:rsid w:val="001E2407"/>
    <w:rsid w:val="001E2ACA"/>
    <w:rsid w:val="001E3394"/>
    <w:rsid w:val="001E3BDA"/>
    <w:rsid w:val="001E42BF"/>
    <w:rsid w:val="001E4480"/>
    <w:rsid w:val="001E4BFE"/>
    <w:rsid w:val="001E52A4"/>
    <w:rsid w:val="001E52EB"/>
    <w:rsid w:val="001E5948"/>
    <w:rsid w:val="001E6429"/>
    <w:rsid w:val="001E696A"/>
    <w:rsid w:val="001E6B0A"/>
    <w:rsid w:val="001E6EB7"/>
    <w:rsid w:val="001E7439"/>
    <w:rsid w:val="001F01E2"/>
    <w:rsid w:val="001F03EB"/>
    <w:rsid w:val="001F058B"/>
    <w:rsid w:val="001F07D9"/>
    <w:rsid w:val="001F0984"/>
    <w:rsid w:val="001F09A0"/>
    <w:rsid w:val="001F0A7E"/>
    <w:rsid w:val="001F0B06"/>
    <w:rsid w:val="001F145C"/>
    <w:rsid w:val="001F1813"/>
    <w:rsid w:val="001F1FA1"/>
    <w:rsid w:val="001F22B9"/>
    <w:rsid w:val="001F2770"/>
    <w:rsid w:val="001F2AC3"/>
    <w:rsid w:val="001F2C66"/>
    <w:rsid w:val="001F2D86"/>
    <w:rsid w:val="001F2EFA"/>
    <w:rsid w:val="001F3250"/>
    <w:rsid w:val="001F3702"/>
    <w:rsid w:val="001F378F"/>
    <w:rsid w:val="001F426F"/>
    <w:rsid w:val="001F4BA9"/>
    <w:rsid w:val="001F5720"/>
    <w:rsid w:val="001F5750"/>
    <w:rsid w:val="001F6447"/>
    <w:rsid w:val="001F6D01"/>
    <w:rsid w:val="001F7464"/>
    <w:rsid w:val="00200160"/>
    <w:rsid w:val="002006D7"/>
    <w:rsid w:val="00200BDA"/>
    <w:rsid w:val="00200D0E"/>
    <w:rsid w:val="002012B8"/>
    <w:rsid w:val="00201401"/>
    <w:rsid w:val="00201AF8"/>
    <w:rsid w:val="00201CDB"/>
    <w:rsid w:val="002021E5"/>
    <w:rsid w:val="00202391"/>
    <w:rsid w:val="002033E4"/>
    <w:rsid w:val="00203833"/>
    <w:rsid w:val="002038A5"/>
    <w:rsid w:val="00203CC3"/>
    <w:rsid w:val="00203E55"/>
    <w:rsid w:val="00203EFD"/>
    <w:rsid w:val="0020404D"/>
    <w:rsid w:val="00204A11"/>
    <w:rsid w:val="00204C25"/>
    <w:rsid w:val="00204E08"/>
    <w:rsid w:val="002050B7"/>
    <w:rsid w:val="00205457"/>
    <w:rsid w:val="00205E93"/>
    <w:rsid w:val="00205F69"/>
    <w:rsid w:val="00206046"/>
    <w:rsid w:val="002062B5"/>
    <w:rsid w:val="0020651C"/>
    <w:rsid w:val="00206F11"/>
    <w:rsid w:val="0020734C"/>
    <w:rsid w:val="00207812"/>
    <w:rsid w:val="00207C88"/>
    <w:rsid w:val="0021037A"/>
    <w:rsid w:val="002105CC"/>
    <w:rsid w:val="002107CD"/>
    <w:rsid w:val="0021107C"/>
    <w:rsid w:val="00211081"/>
    <w:rsid w:val="002118D7"/>
    <w:rsid w:val="00212311"/>
    <w:rsid w:val="002124CB"/>
    <w:rsid w:val="0021287F"/>
    <w:rsid w:val="002128DA"/>
    <w:rsid w:val="00212F41"/>
    <w:rsid w:val="00213109"/>
    <w:rsid w:val="00213318"/>
    <w:rsid w:val="0021344E"/>
    <w:rsid w:val="00213DF4"/>
    <w:rsid w:val="00213FE1"/>
    <w:rsid w:val="00214246"/>
    <w:rsid w:val="0021430D"/>
    <w:rsid w:val="002143F4"/>
    <w:rsid w:val="00214728"/>
    <w:rsid w:val="0021481E"/>
    <w:rsid w:val="00214F78"/>
    <w:rsid w:val="002152AF"/>
    <w:rsid w:val="0021578A"/>
    <w:rsid w:val="00215932"/>
    <w:rsid w:val="00215A3B"/>
    <w:rsid w:val="00215EA2"/>
    <w:rsid w:val="002165AD"/>
    <w:rsid w:val="00216CB2"/>
    <w:rsid w:val="00217549"/>
    <w:rsid w:val="00217ABE"/>
    <w:rsid w:val="00217B21"/>
    <w:rsid w:val="00217C21"/>
    <w:rsid w:val="00217DBB"/>
    <w:rsid w:val="00220321"/>
    <w:rsid w:val="002205CB"/>
    <w:rsid w:val="00221971"/>
    <w:rsid w:val="0022214A"/>
    <w:rsid w:val="00222276"/>
    <w:rsid w:val="002223D6"/>
    <w:rsid w:val="00222575"/>
    <w:rsid w:val="00222F67"/>
    <w:rsid w:val="002233E0"/>
    <w:rsid w:val="0022343B"/>
    <w:rsid w:val="002238F0"/>
    <w:rsid w:val="00223D0A"/>
    <w:rsid w:val="00223E25"/>
    <w:rsid w:val="0022463B"/>
    <w:rsid w:val="00224B26"/>
    <w:rsid w:val="00224C28"/>
    <w:rsid w:val="00224CB4"/>
    <w:rsid w:val="00224FCF"/>
    <w:rsid w:val="002251E8"/>
    <w:rsid w:val="00225430"/>
    <w:rsid w:val="002259FC"/>
    <w:rsid w:val="00225C16"/>
    <w:rsid w:val="00225E7D"/>
    <w:rsid w:val="002261A9"/>
    <w:rsid w:val="0022634A"/>
    <w:rsid w:val="0022637A"/>
    <w:rsid w:val="00226E3E"/>
    <w:rsid w:val="00226F1E"/>
    <w:rsid w:val="00227180"/>
    <w:rsid w:val="002307E6"/>
    <w:rsid w:val="00230B73"/>
    <w:rsid w:val="00230F75"/>
    <w:rsid w:val="00231648"/>
    <w:rsid w:val="00231973"/>
    <w:rsid w:val="00231EE1"/>
    <w:rsid w:val="0023252B"/>
    <w:rsid w:val="00232A20"/>
    <w:rsid w:val="00232B44"/>
    <w:rsid w:val="00232C17"/>
    <w:rsid w:val="00232CC4"/>
    <w:rsid w:val="002333E3"/>
    <w:rsid w:val="00233512"/>
    <w:rsid w:val="00233F26"/>
    <w:rsid w:val="0023408F"/>
    <w:rsid w:val="00234449"/>
    <w:rsid w:val="00234E12"/>
    <w:rsid w:val="00235595"/>
    <w:rsid w:val="00235923"/>
    <w:rsid w:val="00236450"/>
    <w:rsid w:val="00236617"/>
    <w:rsid w:val="00236755"/>
    <w:rsid w:val="00236833"/>
    <w:rsid w:val="00236EBE"/>
    <w:rsid w:val="00236EDC"/>
    <w:rsid w:val="00237094"/>
    <w:rsid w:val="002379CF"/>
    <w:rsid w:val="00237CD3"/>
    <w:rsid w:val="00237DC2"/>
    <w:rsid w:val="00237DD7"/>
    <w:rsid w:val="0024026C"/>
    <w:rsid w:val="00240CDF"/>
    <w:rsid w:val="00240F21"/>
    <w:rsid w:val="00241B4B"/>
    <w:rsid w:val="002421DB"/>
    <w:rsid w:val="00242B6D"/>
    <w:rsid w:val="00243161"/>
    <w:rsid w:val="0024325A"/>
    <w:rsid w:val="00243A2B"/>
    <w:rsid w:val="00244218"/>
    <w:rsid w:val="0024432C"/>
    <w:rsid w:val="002443D1"/>
    <w:rsid w:val="00244724"/>
    <w:rsid w:val="0024475B"/>
    <w:rsid w:val="00245549"/>
    <w:rsid w:val="002455C0"/>
    <w:rsid w:val="00245D5A"/>
    <w:rsid w:val="00245EF0"/>
    <w:rsid w:val="00246168"/>
    <w:rsid w:val="002461B2"/>
    <w:rsid w:val="002466AB"/>
    <w:rsid w:val="002466DF"/>
    <w:rsid w:val="00246EEE"/>
    <w:rsid w:val="00246FE3"/>
    <w:rsid w:val="002473F6"/>
    <w:rsid w:val="002475DC"/>
    <w:rsid w:val="00247B9D"/>
    <w:rsid w:val="00250191"/>
    <w:rsid w:val="00250778"/>
    <w:rsid w:val="0025096D"/>
    <w:rsid w:val="00250A1B"/>
    <w:rsid w:val="00250C10"/>
    <w:rsid w:val="00251071"/>
    <w:rsid w:val="00251293"/>
    <w:rsid w:val="0025130B"/>
    <w:rsid w:val="00251956"/>
    <w:rsid w:val="00251D97"/>
    <w:rsid w:val="0025237F"/>
    <w:rsid w:val="0025249A"/>
    <w:rsid w:val="00252842"/>
    <w:rsid w:val="002529DF"/>
    <w:rsid w:val="00252C38"/>
    <w:rsid w:val="002534B9"/>
    <w:rsid w:val="002534DA"/>
    <w:rsid w:val="002536E0"/>
    <w:rsid w:val="00253790"/>
    <w:rsid w:val="00253D76"/>
    <w:rsid w:val="00253EB9"/>
    <w:rsid w:val="00254096"/>
    <w:rsid w:val="002541C2"/>
    <w:rsid w:val="00254329"/>
    <w:rsid w:val="002543C5"/>
    <w:rsid w:val="00254AB1"/>
    <w:rsid w:val="00254F5B"/>
    <w:rsid w:val="002550DC"/>
    <w:rsid w:val="00255935"/>
    <w:rsid w:val="00255C28"/>
    <w:rsid w:val="00255F48"/>
    <w:rsid w:val="002560CF"/>
    <w:rsid w:val="00256227"/>
    <w:rsid w:val="002566F5"/>
    <w:rsid w:val="0025678A"/>
    <w:rsid w:val="00256A8B"/>
    <w:rsid w:val="0025721D"/>
    <w:rsid w:val="002575F1"/>
    <w:rsid w:val="00257786"/>
    <w:rsid w:val="0025780E"/>
    <w:rsid w:val="002579CD"/>
    <w:rsid w:val="00257AB9"/>
    <w:rsid w:val="002606E9"/>
    <w:rsid w:val="00260853"/>
    <w:rsid w:val="002611FA"/>
    <w:rsid w:val="00261B1A"/>
    <w:rsid w:val="002621E5"/>
    <w:rsid w:val="00262320"/>
    <w:rsid w:val="002627CE"/>
    <w:rsid w:val="00262944"/>
    <w:rsid w:val="002629DB"/>
    <w:rsid w:val="00262A6F"/>
    <w:rsid w:val="00262E8D"/>
    <w:rsid w:val="00262F8D"/>
    <w:rsid w:val="0026325F"/>
    <w:rsid w:val="002633C8"/>
    <w:rsid w:val="002637DF"/>
    <w:rsid w:val="00263834"/>
    <w:rsid w:val="00263BA4"/>
    <w:rsid w:val="00263CCD"/>
    <w:rsid w:val="00264360"/>
    <w:rsid w:val="00264DBB"/>
    <w:rsid w:val="00264FBB"/>
    <w:rsid w:val="0026540B"/>
    <w:rsid w:val="00265EAC"/>
    <w:rsid w:val="00266C0F"/>
    <w:rsid w:val="00267215"/>
    <w:rsid w:val="002672E7"/>
    <w:rsid w:val="002677C4"/>
    <w:rsid w:val="00267A58"/>
    <w:rsid w:val="00267AAE"/>
    <w:rsid w:val="00267C14"/>
    <w:rsid w:val="00267C1B"/>
    <w:rsid w:val="00267E49"/>
    <w:rsid w:val="00267FCD"/>
    <w:rsid w:val="00270CE1"/>
    <w:rsid w:val="002710BA"/>
    <w:rsid w:val="00271211"/>
    <w:rsid w:val="0027248C"/>
    <w:rsid w:val="0027252C"/>
    <w:rsid w:val="00272607"/>
    <w:rsid w:val="00272749"/>
    <w:rsid w:val="00272A9A"/>
    <w:rsid w:val="00272A9B"/>
    <w:rsid w:val="00272AA1"/>
    <w:rsid w:val="00272E5A"/>
    <w:rsid w:val="002730B4"/>
    <w:rsid w:val="002732F2"/>
    <w:rsid w:val="002733CE"/>
    <w:rsid w:val="002735E0"/>
    <w:rsid w:val="00273B69"/>
    <w:rsid w:val="0027401D"/>
    <w:rsid w:val="00274100"/>
    <w:rsid w:val="0027430A"/>
    <w:rsid w:val="00274730"/>
    <w:rsid w:val="002748E0"/>
    <w:rsid w:val="0027507C"/>
    <w:rsid w:val="00275169"/>
    <w:rsid w:val="002757C1"/>
    <w:rsid w:val="00275DEE"/>
    <w:rsid w:val="002763CA"/>
    <w:rsid w:val="00276F90"/>
    <w:rsid w:val="00277311"/>
    <w:rsid w:val="00277655"/>
    <w:rsid w:val="00277701"/>
    <w:rsid w:val="00277886"/>
    <w:rsid w:val="002800AF"/>
    <w:rsid w:val="00280289"/>
    <w:rsid w:val="0028046A"/>
    <w:rsid w:val="00280883"/>
    <w:rsid w:val="00280EED"/>
    <w:rsid w:val="0028118C"/>
    <w:rsid w:val="00281AB3"/>
    <w:rsid w:val="00282764"/>
    <w:rsid w:val="00283F11"/>
    <w:rsid w:val="002846D9"/>
    <w:rsid w:val="00284894"/>
    <w:rsid w:val="00284BAB"/>
    <w:rsid w:val="00284EC0"/>
    <w:rsid w:val="0028581F"/>
    <w:rsid w:val="00285A71"/>
    <w:rsid w:val="002867D4"/>
    <w:rsid w:val="002871AF"/>
    <w:rsid w:val="002878B0"/>
    <w:rsid w:val="002878FA"/>
    <w:rsid w:val="00287A4A"/>
    <w:rsid w:val="00287A9E"/>
    <w:rsid w:val="00287CAA"/>
    <w:rsid w:val="002900C3"/>
    <w:rsid w:val="002901FC"/>
    <w:rsid w:val="00290D83"/>
    <w:rsid w:val="00291131"/>
    <w:rsid w:val="00291540"/>
    <w:rsid w:val="00291839"/>
    <w:rsid w:val="00292513"/>
    <w:rsid w:val="002927DF"/>
    <w:rsid w:val="002928D5"/>
    <w:rsid w:val="0029303E"/>
    <w:rsid w:val="002934D8"/>
    <w:rsid w:val="0029364E"/>
    <w:rsid w:val="00293CCC"/>
    <w:rsid w:val="00293E7A"/>
    <w:rsid w:val="00294028"/>
    <w:rsid w:val="00294264"/>
    <w:rsid w:val="002942FD"/>
    <w:rsid w:val="00294B99"/>
    <w:rsid w:val="0029520A"/>
    <w:rsid w:val="002955C3"/>
    <w:rsid w:val="0029580F"/>
    <w:rsid w:val="00295A93"/>
    <w:rsid w:val="00295CB5"/>
    <w:rsid w:val="00295CFC"/>
    <w:rsid w:val="00295DE8"/>
    <w:rsid w:val="00295FC0"/>
    <w:rsid w:val="002964D6"/>
    <w:rsid w:val="00296704"/>
    <w:rsid w:val="00296CA5"/>
    <w:rsid w:val="00297173"/>
    <w:rsid w:val="002975D2"/>
    <w:rsid w:val="00297A7C"/>
    <w:rsid w:val="00297E79"/>
    <w:rsid w:val="00297F84"/>
    <w:rsid w:val="002A0249"/>
    <w:rsid w:val="002A056B"/>
    <w:rsid w:val="002A09CF"/>
    <w:rsid w:val="002A0CDE"/>
    <w:rsid w:val="002A0D48"/>
    <w:rsid w:val="002A0D56"/>
    <w:rsid w:val="002A0DA9"/>
    <w:rsid w:val="002A0E5F"/>
    <w:rsid w:val="002A0EC1"/>
    <w:rsid w:val="002A0FB8"/>
    <w:rsid w:val="002A1318"/>
    <w:rsid w:val="002A1625"/>
    <w:rsid w:val="002A1F7D"/>
    <w:rsid w:val="002A2569"/>
    <w:rsid w:val="002A29FA"/>
    <w:rsid w:val="002A3212"/>
    <w:rsid w:val="002A3286"/>
    <w:rsid w:val="002A3698"/>
    <w:rsid w:val="002A39B3"/>
    <w:rsid w:val="002A3C35"/>
    <w:rsid w:val="002A43B6"/>
    <w:rsid w:val="002A4655"/>
    <w:rsid w:val="002A465E"/>
    <w:rsid w:val="002A4D24"/>
    <w:rsid w:val="002A503E"/>
    <w:rsid w:val="002A5A27"/>
    <w:rsid w:val="002A5EE4"/>
    <w:rsid w:val="002A6661"/>
    <w:rsid w:val="002A666D"/>
    <w:rsid w:val="002A6AEF"/>
    <w:rsid w:val="002A6C9D"/>
    <w:rsid w:val="002A6DBF"/>
    <w:rsid w:val="002A75BC"/>
    <w:rsid w:val="002A785A"/>
    <w:rsid w:val="002B01CE"/>
    <w:rsid w:val="002B06CC"/>
    <w:rsid w:val="002B0BCE"/>
    <w:rsid w:val="002B0CF2"/>
    <w:rsid w:val="002B0F70"/>
    <w:rsid w:val="002B12F6"/>
    <w:rsid w:val="002B1B4C"/>
    <w:rsid w:val="002B3077"/>
    <w:rsid w:val="002B3211"/>
    <w:rsid w:val="002B3675"/>
    <w:rsid w:val="002B3F26"/>
    <w:rsid w:val="002B40D6"/>
    <w:rsid w:val="002B4533"/>
    <w:rsid w:val="002B4BC7"/>
    <w:rsid w:val="002B4CE7"/>
    <w:rsid w:val="002B4E0F"/>
    <w:rsid w:val="002B531D"/>
    <w:rsid w:val="002B56EB"/>
    <w:rsid w:val="002B5723"/>
    <w:rsid w:val="002B58E8"/>
    <w:rsid w:val="002B5A53"/>
    <w:rsid w:val="002B5C1B"/>
    <w:rsid w:val="002B6046"/>
    <w:rsid w:val="002B608D"/>
    <w:rsid w:val="002B66C4"/>
    <w:rsid w:val="002B674E"/>
    <w:rsid w:val="002B69F3"/>
    <w:rsid w:val="002B6BD8"/>
    <w:rsid w:val="002B6D91"/>
    <w:rsid w:val="002B71E0"/>
    <w:rsid w:val="002B7878"/>
    <w:rsid w:val="002B7CE9"/>
    <w:rsid w:val="002C027E"/>
    <w:rsid w:val="002C0474"/>
    <w:rsid w:val="002C0A85"/>
    <w:rsid w:val="002C0DC9"/>
    <w:rsid w:val="002C111E"/>
    <w:rsid w:val="002C11AF"/>
    <w:rsid w:val="002C1952"/>
    <w:rsid w:val="002C1E3D"/>
    <w:rsid w:val="002C1E7C"/>
    <w:rsid w:val="002C1F53"/>
    <w:rsid w:val="002C2B8F"/>
    <w:rsid w:val="002C3192"/>
    <w:rsid w:val="002C3350"/>
    <w:rsid w:val="002C370A"/>
    <w:rsid w:val="002C39BE"/>
    <w:rsid w:val="002C3B83"/>
    <w:rsid w:val="002C3C5C"/>
    <w:rsid w:val="002C4193"/>
    <w:rsid w:val="002C49DF"/>
    <w:rsid w:val="002C4D50"/>
    <w:rsid w:val="002C56FC"/>
    <w:rsid w:val="002C570D"/>
    <w:rsid w:val="002C5928"/>
    <w:rsid w:val="002C59D7"/>
    <w:rsid w:val="002C5A09"/>
    <w:rsid w:val="002C5E35"/>
    <w:rsid w:val="002C5F49"/>
    <w:rsid w:val="002C607C"/>
    <w:rsid w:val="002C6BAE"/>
    <w:rsid w:val="002C6C44"/>
    <w:rsid w:val="002C6D7B"/>
    <w:rsid w:val="002C6E9F"/>
    <w:rsid w:val="002C7266"/>
    <w:rsid w:val="002C78A1"/>
    <w:rsid w:val="002C7D85"/>
    <w:rsid w:val="002D09D7"/>
    <w:rsid w:val="002D228D"/>
    <w:rsid w:val="002D3316"/>
    <w:rsid w:val="002D3428"/>
    <w:rsid w:val="002D3449"/>
    <w:rsid w:val="002D37CD"/>
    <w:rsid w:val="002D3D11"/>
    <w:rsid w:val="002D3DA6"/>
    <w:rsid w:val="002D3F1F"/>
    <w:rsid w:val="002D453A"/>
    <w:rsid w:val="002D5A38"/>
    <w:rsid w:val="002D5D4A"/>
    <w:rsid w:val="002D6329"/>
    <w:rsid w:val="002D6B49"/>
    <w:rsid w:val="002D7385"/>
    <w:rsid w:val="002D7632"/>
    <w:rsid w:val="002E0200"/>
    <w:rsid w:val="002E0DF2"/>
    <w:rsid w:val="002E137D"/>
    <w:rsid w:val="002E15FD"/>
    <w:rsid w:val="002E1895"/>
    <w:rsid w:val="002E1BF7"/>
    <w:rsid w:val="002E2275"/>
    <w:rsid w:val="002E2724"/>
    <w:rsid w:val="002E34EB"/>
    <w:rsid w:val="002E3A5A"/>
    <w:rsid w:val="002E40B4"/>
    <w:rsid w:val="002E4118"/>
    <w:rsid w:val="002E42A4"/>
    <w:rsid w:val="002E439B"/>
    <w:rsid w:val="002E4F66"/>
    <w:rsid w:val="002E51D9"/>
    <w:rsid w:val="002E542E"/>
    <w:rsid w:val="002E5FC4"/>
    <w:rsid w:val="002E6AA4"/>
    <w:rsid w:val="002E6EE5"/>
    <w:rsid w:val="002E6FBD"/>
    <w:rsid w:val="002E787D"/>
    <w:rsid w:val="002E7927"/>
    <w:rsid w:val="002E7C8B"/>
    <w:rsid w:val="002E7D23"/>
    <w:rsid w:val="002F0701"/>
    <w:rsid w:val="002F0754"/>
    <w:rsid w:val="002F0973"/>
    <w:rsid w:val="002F0E60"/>
    <w:rsid w:val="002F181A"/>
    <w:rsid w:val="002F1E6E"/>
    <w:rsid w:val="002F1F6E"/>
    <w:rsid w:val="002F23B0"/>
    <w:rsid w:val="002F26E1"/>
    <w:rsid w:val="002F2819"/>
    <w:rsid w:val="002F2944"/>
    <w:rsid w:val="002F2B73"/>
    <w:rsid w:val="002F32BC"/>
    <w:rsid w:val="002F3353"/>
    <w:rsid w:val="002F3825"/>
    <w:rsid w:val="002F4078"/>
    <w:rsid w:val="002F40C1"/>
    <w:rsid w:val="002F45B2"/>
    <w:rsid w:val="002F4ED3"/>
    <w:rsid w:val="002F536D"/>
    <w:rsid w:val="002F53E5"/>
    <w:rsid w:val="002F5473"/>
    <w:rsid w:val="002F567B"/>
    <w:rsid w:val="002F569B"/>
    <w:rsid w:val="002F59A9"/>
    <w:rsid w:val="002F67FE"/>
    <w:rsid w:val="002F6D7B"/>
    <w:rsid w:val="002F6E44"/>
    <w:rsid w:val="002F7174"/>
    <w:rsid w:val="002F7749"/>
    <w:rsid w:val="00300C8E"/>
    <w:rsid w:val="00300CCA"/>
    <w:rsid w:val="00300E8E"/>
    <w:rsid w:val="00301620"/>
    <w:rsid w:val="0030170D"/>
    <w:rsid w:val="003023A5"/>
    <w:rsid w:val="003023AD"/>
    <w:rsid w:val="00302ABD"/>
    <w:rsid w:val="00302B71"/>
    <w:rsid w:val="00302C22"/>
    <w:rsid w:val="00302DF0"/>
    <w:rsid w:val="00302ECA"/>
    <w:rsid w:val="0030322B"/>
    <w:rsid w:val="003033BC"/>
    <w:rsid w:val="00304267"/>
    <w:rsid w:val="00304507"/>
    <w:rsid w:val="00304868"/>
    <w:rsid w:val="00304876"/>
    <w:rsid w:val="00305D3A"/>
    <w:rsid w:val="003066B0"/>
    <w:rsid w:val="00306998"/>
    <w:rsid w:val="00306B20"/>
    <w:rsid w:val="00306CA9"/>
    <w:rsid w:val="0030705F"/>
    <w:rsid w:val="00307400"/>
    <w:rsid w:val="00307E2C"/>
    <w:rsid w:val="0031010C"/>
    <w:rsid w:val="003102A4"/>
    <w:rsid w:val="00310794"/>
    <w:rsid w:val="003111F4"/>
    <w:rsid w:val="003112FE"/>
    <w:rsid w:val="003116DD"/>
    <w:rsid w:val="003119ED"/>
    <w:rsid w:val="00311D80"/>
    <w:rsid w:val="00312020"/>
    <w:rsid w:val="0031218F"/>
    <w:rsid w:val="00312279"/>
    <w:rsid w:val="00312723"/>
    <w:rsid w:val="00312945"/>
    <w:rsid w:val="00312AB9"/>
    <w:rsid w:val="00312AE6"/>
    <w:rsid w:val="00312E97"/>
    <w:rsid w:val="00313004"/>
    <w:rsid w:val="003133E7"/>
    <w:rsid w:val="00313721"/>
    <w:rsid w:val="003138A7"/>
    <w:rsid w:val="003141D6"/>
    <w:rsid w:val="0031491B"/>
    <w:rsid w:val="00314E66"/>
    <w:rsid w:val="00314EF3"/>
    <w:rsid w:val="00314F17"/>
    <w:rsid w:val="00315390"/>
    <w:rsid w:val="003153D9"/>
    <w:rsid w:val="0031566E"/>
    <w:rsid w:val="00315C31"/>
    <w:rsid w:val="003163DB"/>
    <w:rsid w:val="0031672D"/>
    <w:rsid w:val="0031685E"/>
    <w:rsid w:val="00316FBB"/>
    <w:rsid w:val="0031713C"/>
    <w:rsid w:val="00317935"/>
    <w:rsid w:val="00320349"/>
    <w:rsid w:val="0032039E"/>
    <w:rsid w:val="00320541"/>
    <w:rsid w:val="00320BE3"/>
    <w:rsid w:val="00320CED"/>
    <w:rsid w:val="0032130E"/>
    <w:rsid w:val="00321452"/>
    <w:rsid w:val="00321A19"/>
    <w:rsid w:val="00321AC4"/>
    <w:rsid w:val="00321B37"/>
    <w:rsid w:val="00322131"/>
    <w:rsid w:val="00322301"/>
    <w:rsid w:val="00322353"/>
    <w:rsid w:val="00322404"/>
    <w:rsid w:val="0032260C"/>
    <w:rsid w:val="003227BB"/>
    <w:rsid w:val="00322C00"/>
    <w:rsid w:val="00323863"/>
    <w:rsid w:val="00323A6D"/>
    <w:rsid w:val="00323B4B"/>
    <w:rsid w:val="00323B5C"/>
    <w:rsid w:val="00324625"/>
    <w:rsid w:val="00324AB3"/>
    <w:rsid w:val="00324D13"/>
    <w:rsid w:val="003253B7"/>
    <w:rsid w:val="0032569C"/>
    <w:rsid w:val="00326022"/>
    <w:rsid w:val="00326196"/>
    <w:rsid w:val="0032628D"/>
    <w:rsid w:val="003264D8"/>
    <w:rsid w:val="003269E5"/>
    <w:rsid w:val="00326C44"/>
    <w:rsid w:val="00326DCD"/>
    <w:rsid w:val="00326E84"/>
    <w:rsid w:val="003271F9"/>
    <w:rsid w:val="00327855"/>
    <w:rsid w:val="0032787F"/>
    <w:rsid w:val="003278A4"/>
    <w:rsid w:val="00327B6F"/>
    <w:rsid w:val="00327DD0"/>
    <w:rsid w:val="003309C5"/>
    <w:rsid w:val="00330FB2"/>
    <w:rsid w:val="0033135A"/>
    <w:rsid w:val="00331EE9"/>
    <w:rsid w:val="00331F1C"/>
    <w:rsid w:val="003325EB"/>
    <w:rsid w:val="00332607"/>
    <w:rsid w:val="00332639"/>
    <w:rsid w:val="0033366F"/>
    <w:rsid w:val="0033378D"/>
    <w:rsid w:val="00333837"/>
    <w:rsid w:val="00333A8D"/>
    <w:rsid w:val="00333E25"/>
    <w:rsid w:val="00333F40"/>
    <w:rsid w:val="00333FB8"/>
    <w:rsid w:val="003345F2"/>
    <w:rsid w:val="00334B17"/>
    <w:rsid w:val="00334F12"/>
    <w:rsid w:val="00335122"/>
    <w:rsid w:val="003354D7"/>
    <w:rsid w:val="00335640"/>
    <w:rsid w:val="00336460"/>
    <w:rsid w:val="00336619"/>
    <w:rsid w:val="00336962"/>
    <w:rsid w:val="00336B2E"/>
    <w:rsid w:val="00336C12"/>
    <w:rsid w:val="003375BE"/>
    <w:rsid w:val="003376DE"/>
    <w:rsid w:val="00337714"/>
    <w:rsid w:val="0033775C"/>
    <w:rsid w:val="00337A9A"/>
    <w:rsid w:val="0034018B"/>
    <w:rsid w:val="0034053D"/>
    <w:rsid w:val="003406FB"/>
    <w:rsid w:val="00340E48"/>
    <w:rsid w:val="003413FE"/>
    <w:rsid w:val="00341AB9"/>
    <w:rsid w:val="00341E31"/>
    <w:rsid w:val="00342127"/>
    <w:rsid w:val="00342274"/>
    <w:rsid w:val="00343BCC"/>
    <w:rsid w:val="00343D41"/>
    <w:rsid w:val="003440C7"/>
    <w:rsid w:val="0034410B"/>
    <w:rsid w:val="00344237"/>
    <w:rsid w:val="0034451E"/>
    <w:rsid w:val="00344941"/>
    <w:rsid w:val="00344EC6"/>
    <w:rsid w:val="00345082"/>
    <w:rsid w:val="00345495"/>
    <w:rsid w:val="00345E59"/>
    <w:rsid w:val="00346245"/>
    <w:rsid w:val="00346C39"/>
    <w:rsid w:val="00346E64"/>
    <w:rsid w:val="00347059"/>
    <w:rsid w:val="00347387"/>
    <w:rsid w:val="00350143"/>
    <w:rsid w:val="003501C7"/>
    <w:rsid w:val="00350A0E"/>
    <w:rsid w:val="00350D51"/>
    <w:rsid w:val="00351562"/>
    <w:rsid w:val="00351852"/>
    <w:rsid w:val="0035233E"/>
    <w:rsid w:val="003523D3"/>
    <w:rsid w:val="00352619"/>
    <w:rsid w:val="00352830"/>
    <w:rsid w:val="00352840"/>
    <w:rsid w:val="00352E24"/>
    <w:rsid w:val="00353031"/>
    <w:rsid w:val="003533E3"/>
    <w:rsid w:val="003536C6"/>
    <w:rsid w:val="00353B57"/>
    <w:rsid w:val="00353DB1"/>
    <w:rsid w:val="00353E57"/>
    <w:rsid w:val="003540EA"/>
    <w:rsid w:val="00354113"/>
    <w:rsid w:val="0035424B"/>
    <w:rsid w:val="0035451E"/>
    <w:rsid w:val="00354A2C"/>
    <w:rsid w:val="00354A70"/>
    <w:rsid w:val="00354B55"/>
    <w:rsid w:val="003553A3"/>
    <w:rsid w:val="00355D1C"/>
    <w:rsid w:val="00356556"/>
    <w:rsid w:val="00356570"/>
    <w:rsid w:val="003567E0"/>
    <w:rsid w:val="00356B76"/>
    <w:rsid w:val="00356EFF"/>
    <w:rsid w:val="0035742F"/>
    <w:rsid w:val="00357714"/>
    <w:rsid w:val="003578EF"/>
    <w:rsid w:val="003579ED"/>
    <w:rsid w:val="003601F4"/>
    <w:rsid w:val="003602CA"/>
    <w:rsid w:val="00360485"/>
    <w:rsid w:val="0036064F"/>
    <w:rsid w:val="00360A82"/>
    <w:rsid w:val="00360C2D"/>
    <w:rsid w:val="00360E0B"/>
    <w:rsid w:val="0036106B"/>
    <w:rsid w:val="00361308"/>
    <w:rsid w:val="003614F6"/>
    <w:rsid w:val="00361CFD"/>
    <w:rsid w:val="00361D81"/>
    <w:rsid w:val="00362168"/>
    <w:rsid w:val="00362421"/>
    <w:rsid w:val="00362467"/>
    <w:rsid w:val="00362652"/>
    <w:rsid w:val="00362FC8"/>
    <w:rsid w:val="003630E2"/>
    <w:rsid w:val="00363366"/>
    <w:rsid w:val="00363608"/>
    <w:rsid w:val="00363DC9"/>
    <w:rsid w:val="003641B5"/>
    <w:rsid w:val="00364A59"/>
    <w:rsid w:val="00365088"/>
    <w:rsid w:val="00365328"/>
    <w:rsid w:val="003654E1"/>
    <w:rsid w:val="00365CEC"/>
    <w:rsid w:val="00365D8A"/>
    <w:rsid w:val="00366644"/>
    <w:rsid w:val="00366C6C"/>
    <w:rsid w:val="00366DA6"/>
    <w:rsid w:val="0036718C"/>
    <w:rsid w:val="003671BD"/>
    <w:rsid w:val="003677D4"/>
    <w:rsid w:val="003678F5"/>
    <w:rsid w:val="00367953"/>
    <w:rsid w:val="00367D83"/>
    <w:rsid w:val="00367E55"/>
    <w:rsid w:val="0037031C"/>
    <w:rsid w:val="00370347"/>
    <w:rsid w:val="00370DDD"/>
    <w:rsid w:val="00370FF9"/>
    <w:rsid w:val="003712FF"/>
    <w:rsid w:val="00371B32"/>
    <w:rsid w:val="00371C1A"/>
    <w:rsid w:val="0037295D"/>
    <w:rsid w:val="00372B7F"/>
    <w:rsid w:val="00372B94"/>
    <w:rsid w:val="00373001"/>
    <w:rsid w:val="0037318D"/>
    <w:rsid w:val="003733F7"/>
    <w:rsid w:val="00373812"/>
    <w:rsid w:val="00373AF6"/>
    <w:rsid w:val="00373B5F"/>
    <w:rsid w:val="003744F3"/>
    <w:rsid w:val="00374762"/>
    <w:rsid w:val="00374EE1"/>
    <w:rsid w:val="00375017"/>
    <w:rsid w:val="00375112"/>
    <w:rsid w:val="00375116"/>
    <w:rsid w:val="00375340"/>
    <w:rsid w:val="00375998"/>
    <w:rsid w:val="003759B7"/>
    <w:rsid w:val="00375EEA"/>
    <w:rsid w:val="003761A8"/>
    <w:rsid w:val="003763C6"/>
    <w:rsid w:val="003769FE"/>
    <w:rsid w:val="00376D26"/>
    <w:rsid w:val="00376D80"/>
    <w:rsid w:val="00377428"/>
    <w:rsid w:val="00377432"/>
    <w:rsid w:val="00377C9B"/>
    <w:rsid w:val="00380993"/>
    <w:rsid w:val="00380C46"/>
    <w:rsid w:val="00380CFC"/>
    <w:rsid w:val="00380FD7"/>
    <w:rsid w:val="003810B0"/>
    <w:rsid w:val="0038144A"/>
    <w:rsid w:val="003817CA"/>
    <w:rsid w:val="00381DA7"/>
    <w:rsid w:val="00381FA7"/>
    <w:rsid w:val="00382032"/>
    <w:rsid w:val="003821CD"/>
    <w:rsid w:val="00382754"/>
    <w:rsid w:val="00382A56"/>
    <w:rsid w:val="00382B01"/>
    <w:rsid w:val="003831AE"/>
    <w:rsid w:val="00383400"/>
    <w:rsid w:val="00383809"/>
    <w:rsid w:val="0038380D"/>
    <w:rsid w:val="00383C33"/>
    <w:rsid w:val="00384889"/>
    <w:rsid w:val="00384AF4"/>
    <w:rsid w:val="00384E09"/>
    <w:rsid w:val="00385028"/>
    <w:rsid w:val="003852F5"/>
    <w:rsid w:val="00385E24"/>
    <w:rsid w:val="003860A2"/>
    <w:rsid w:val="0038610D"/>
    <w:rsid w:val="00386205"/>
    <w:rsid w:val="0038625C"/>
    <w:rsid w:val="00386399"/>
    <w:rsid w:val="00387494"/>
    <w:rsid w:val="003878E9"/>
    <w:rsid w:val="00387B91"/>
    <w:rsid w:val="00387BB4"/>
    <w:rsid w:val="0039006D"/>
    <w:rsid w:val="00390276"/>
    <w:rsid w:val="003911AB"/>
    <w:rsid w:val="003918EC"/>
    <w:rsid w:val="00391BB7"/>
    <w:rsid w:val="00391E10"/>
    <w:rsid w:val="00391E8B"/>
    <w:rsid w:val="00392979"/>
    <w:rsid w:val="003937D8"/>
    <w:rsid w:val="00393ECA"/>
    <w:rsid w:val="003941C0"/>
    <w:rsid w:val="003944D0"/>
    <w:rsid w:val="003946A0"/>
    <w:rsid w:val="00394FD2"/>
    <w:rsid w:val="0039547D"/>
    <w:rsid w:val="00395533"/>
    <w:rsid w:val="003958A6"/>
    <w:rsid w:val="003958FF"/>
    <w:rsid w:val="0039625B"/>
    <w:rsid w:val="00396647"/>
    <w:rsid w:val="00396802"/>
    <w:rsid w:val="00397311"/>
    <w:rsid w:val="003A0328"/>
    <w:rsid w:val="003A0597"/>
    <w:rsid w:val="003A05EF"/>
    <w:rsid w:val="003A07C3"/>
    <w:rsid w:val="003A0961"/>
    <w:rsid w:val="003A0F30"/>
    <w:rsid w:val="003A0F45"/>
    <w:rsid w:val="003A1015"/>
    <w:rsid w:val="003A1936"/>
    <w:rsid w:val="003A1A60"/>
    <w:rsid w:val="003A1E51"/>
    <w:rsid w:val="003A2078"/>
    <w:rsid w:val="003A20C1"/>
    <w:rsid w:val="003A23CF"/>
    <w:rsid w:val="003A2E2D"/>
    <w:rsid w:val="003A3A35"/>
    <w:rsid w:val="003A3BF9"/>
    <w:rsid w:val="003A3CD6"/>
    <w:rsid w:val="003A3F9B"/>
    <w:rsid w:val="003A3FBE"/>
    <w:rsid w:val="003A4152"/>
    <w:rsid w:val="003A425F"/>
    <w:rsid w:val="003A4CE4"/>
    <w:rsid w:val="003A4D29"/>
    <w:rsid w:val="003A4D8E"/>
    <w:rsid w:val="003A4EE1"/>
    <w:rsid w:val="003A4F05"/>
    <w:rsid w:val="003A5682"/>
    <w:rsid w:val="003A5996"/>
    <w:rsid w:val="003A5B75"/>
    <w:rsid w:val="003A6802"/>
    <w:rsid w:val="003A6B5D"/>
    <w:rsid w:val="003A79D7"/>
    <w:rsid w:val="003A7F88"/>
    <w:rsid w:val="003B0326"/>
    <w:rsid w:val="003B0CF7"/>
    <w:rsid w:val="003B0D5D"/>
    <w:rsid w:val="003B166F"/>
    <w:rsid w:val="003B1808"/>
    <w:rsid w:val="003B1AA2"/>
    <w:rsid w:val="003B1AB0"/>
    <w:rsid w:val="003B1B99"/>
    <w:rsid w:val="003B1BEB"/>
    <w:rsid w:val="003B1EE5"/>
    <w:rsid w:val="003B22F2"/>
    <w:rsid w:val="003B29F0"/>
    <w:rsid w:val="003B2BAB"/>
    <w:rsid w:val="003B30A0"/>
    <w:rsid w:val="003B33CF"/>
    <w:rsid w:val="003B3800"/>
    <w:rsid w:val="003B38DC"/>
    <w:rsid w:val="003B3DDE"/>
    <w:rsid w:val="003B403A"/>
    <w:rsid w:val="003B420E"/>
    <w:rsid w:val="003B4451"/>
    <w:rsid w:val="003B4930"/>
    <w:rsid w:val="003B4EDD"/>
    <w:rsid w:val="003B53E3"/>
    <w:rsid w:val="003B54A3"/>
    <w:rsid w:val="003B556C"/>
    <w:rsid w:val="003B58FD"/>
    <w:rsid w:val="003B5E18"/>
    <w:rsid w:val="003B5FCF"/>
    <w:rsid w:val="003B60AA"/>
    <w:rsid w:val="003B621C"/>
    <w:rsid w:val="003B6477"/>
    <w:rsid w:val="003B649C"/>
    <w:rsid w:val="003B6651"/>
    <w:rsid w:val="003B66E7"/>
    <w:rsid w:val="003B7243"/>
    <w:rsid w:val="003B72BD"/>
    <w:rsid w:val="003B7474"/>
    <w:rsid w:val="003B7575"/>
    <w:rsid w:val="003B7897"/>
    <w:rsid w:val="003C0078"/>
    <w:rsid w:val="003C0372"/>
    <w:rsid w:val="003C04EE"/>
    <w:rsid w:val="003C0709"/>
    <w:rsid w:val="003C0723"/>
    <w:rsid w:val="003C0B5D"/>
    <w:rsid w:val="003C1398"/>
    <w:rsid w:val="003C174D"/>
    <w:rsid w:val="003C1AC0"/>
    <w:rsid w:val="003C1AC1"/>
    <w:rsid w:val="003C1B27"/>
    <w:rsid w:val="003C1EB2"/>
    <w:rsid w:val="003C1F80"/>
    <w:rsid w:val="003C1FE6"/>
    <w:rsid w:val="003C2045"/>
    <w:rsid w:val="003C22E8"/>
    <w:rsid w:val="003C23A0"/>
    <w:rsid w:val="003C23C6"/>
    <w:rsid w:val="003C2E72"/>
    <w:rsid w:val="003C38EF"/>
    <w:rsid w:val="003C3F4A"/>
    <w:rsid w:val="003C4773"/>
    <w:rsid w:val="003C47C0"/>
    <w:rsid w:val="003C4AFF"/>
    <w:rsid w:val="003C504D"/>
    <w:rsid w:val="003C5CCF"/>
    <w:rsid w:val="003C5F74"/>
    <w:rsid w:val="003C5FC6"/>
    <w:rsid w:val="003C64F5"/>
    <w:rsid w:val="003C6D02"/>
    <w:rsid w:val="003C6D28"/>
    <w:rsid w:val="003C70C1"/>
    <w:rsid w:val="003C715F"/>
    <w:rsid w:val="003C7164"/>
    <w:rsid w:val="003C71BD"/>
    <w:rsid w:val="003C7685"/>
    <w:rsid w:val="003C7A8A"/>
    <w:rsid w:val="003D0861"/>
    <w:rsid w:val="003D0FB7"/>
    <w:rsid w:val="003D1D86"/>
    <w:rsid w:val="003D2609"/>
    <w:rsid w:val="003D2796"/>
    <w:rsid w:val="003D285C"/>
    <w:rsid w:val="003D2E43"/>
    <w:rsid w:val="003D2F5E"/>
    <w:rsid w:val="003D3275"/>
    <w:rsid w:val="003D3C08"/>
    <w:rsid w:val="003D42A1"/>
    <w:rsid w:val="003D441C"/>
    <w:rsid w:val="003D48CA"/>
    <w:rsid w:val="003D4921"/>
    <w:rsid w:val="003D49FE"/>
    <w:rsid w:val="003D4B63"/>
    <w:rsid w:val="003D4BA3"/>
    <w:rsid w:val="003D5288"/>
    <w:rsid w:val="003D6216"/>
    <w:rsid w:val="003D688F"/>
    <w:rsid w:val="003D71BB"/>
    <w:rsid w:val="003D741A"/>
    <w:rsid w:val="003D772B"/>
    <w:rsid w:val="003D78D5"/>
    <w:rsid w:val="003D7933"/>
    <w:rsid w:val="003E0561"/>
    <w:rsid w:val="003E0706"/>
    <w:rsid w:val="003E0878"/>
    <w:rsid w:val="003E1124"/>
    <w:rsid w:val="003E1518"/>
    <w:rsid w:val="003E17E7"/>
    <w:rsid w:val="003E215D"/>
    <w:rsid w:val="003E24B5"/>
    <w:rsid w:val="003E3337"/>
    <w:rsid w:val="003E3587"/>
    <w:rsid w:val="003E3729"/>
    <w:rsid w:val="003E3824"/>
    <w:rsid w:val="003E3D69"/>
    <w:rsid w:val="003E434F"/>
    <w:rsid w:val="003E44D6"/>
    <w:rsid w:val="003E4ACA"/>
    <w:rsid w:val="003E5E33"/>
    <w:rsid w:val="003E619E"/>
    <w:rsid w:val="003E6343"/>
    <w:rsid w:val="003E668C"/>
    <w:rsid w:val="003E6840"/>
    <w:rsid w:val="003E7073"/>
    <w:rsid w:val="003E71FB"/>
    <w:rsid w:val="003E76A7"/>
    <w:rsid w:val="003E7996"/>
    <w:rsid w:val="003E7F20"/>
    <w:rsid w:val="003E7FE1"/>
    <w:rsid w:val="003F0028"/>
    <w:rsid w:val="003F0236"/>
    <w:rsid w:val="003F0AAA"/>
    <w:rsid w:val="003F156A"/>
    <w:rsid w:val="003F26B8"/>
    <w:rsid w:val="003F2978"/>
    <w:rsid w:val="003F3120"/>
    <w:rsid w:val="003F376C"/>
    <w:rsid w:val="003F3994"/>
    <w:rsid w:val="003F39DA"/>
    <w:rsid w:val="003F3DBC"/>
    <w:rsid w:val="003F44F5"/>
    <w:rsid w:val="003F4562"/>
    <w:rsid w:val="003F4B68"/>
    <w:rsid w:val="003F4D23"/>
    <w:rsid w:val="003F51EB"/>
    <w:rsid w:val="003F5976"/>
    <w:rsid w:val="003F6606"/>
    <w:rsid w:val="003F6C85"/>
    <w:rsid w:val="003F6EC2"/>
    <w:rsid w:val="003F7188"/>
    <w:rsid w:val="003F7927"/>
    <w:rsid w:val="003F7E5C"/>
    <w:rsid w:val="003F7FDE"/>
    <w:rsid w:val="004003DC"/>
    <w:rsid w:val="00400476"/>
    <w:rsid w:val="00400B2A"/>
    <w:rsid w:val="00400D8B"/>
    <w:rsid w:val="00401242"/>
    <w:rsid w:val="00401A1F"/>
    <w:rsid w:val="0040282B"/>
    <w:rsid w:val="00402B06"/>
    <w:rsid w:val="004033F0"/>
    <w:rsid w:val="00403A06"/>
    <w:rsid w:val="0040409D"/>
    <w:rsid w:val="00404391"/>
    <w:rsid w:val="00404897"/>
    <w:rsid w:val="00404C11"/>
    <w:rsid w:val="004051C8"/>
    <w:rsid w:val="004051DA"/>
    <w:rsid w:val="00405423"/>
    <w:rsid w:val="004057E5"/>
    <w:rsid w:val="00405B0E"/>
    <w:rsid w:val="00405C7A"/>
    <w:rsid w:val="00405F99"/>
    <w:rsid w:val="00406034"/>
    <w:rsid w:val="00406413"/>
    <w:rsid w:val="004067D3"/>
    <w:rsid w:val="00406FFF"/>
    <w:rsid w:val="004073C0"/>
    <w:rsid w:val="0040761A"/>
    <w:rsid w:val="00407AA9"/>
    <w:rsid w:val="00407ABF"/>
    <w:rsid w:val="00407D06"/>
    <w:rsid w:val="00407D5C"/>
    <w:rsid w:val="004102F2"/>
    <w:rsid w:val="00410467"/>
    <w:rsid w:val="004112D7"/>
    <w:rsid w:val="00411BE9"/>
    <w:rsid w:val="004124E2"/>
    <w:rsid w:val="00412524"/>
    <w:rsid w:val="004131E4"/>
    <w:rsid w:val="00413683"/>
    <w:rsid w:val="00414054"/>
    <w:rsid w:val="0041425F"/>
    <w:rsid w:val="0041439C"/>
    <w:rsid w:val="00414931"/>
    <w:rsid w:val="00414E02"/>
    <w:rsid w:val="004155EF"/>
    <w:rsid w:val="004161E4"/>
    <w:rsid w:val="004164C4"/>
    <w:rsid w:val="0041763E"/>
    <w:rsid w:val="00417671"/>
    <w:rsid w:val="0041783B"/>
    <w:rsid w:val="00420B0E"/>
    <w:rsid w:val="00420DDC"/>
    <w:rsid w:val="0042117C"/>
    <w:rsid w:val="004216A3"/>
    <w:rsid w:val="00421794"/>
    <w:rsid w:val="00421945"/>
    <w:rsid w:val="00422ABD"/>
    <w:rsid w:val="00422DFD"/>
    <w:rsid w:val="00422E92"/>
    <w:rsid w:val="00422EB0"/>
    <w:rsid w:val="00423638"/>
    <w:rsid w:val="00423BCC"/>
    <w:rsid w:val="0042439A"/>
    <w:rsid w:val="004247A2"/>
    <w:rsid w:val="004248AD"/>
    <w:rsid w:val="00424CD3"/>
    <w:rsid w:val="00425024"/>
    <w:rsid w:val="00425162"/>
    <w:rsid w:val="00425659"/>
    <w:rsid w:val="004258CD"/>
    <w:rsid w:val="00425E3A"/>
    <w:rsid w:val="00426936"/>
    <w:rsid w:val="00427CD6"/>
    <w:rsid w:val="00430108"/>
    <w:rsid w:val="004307A3"/>
    <w:rsid w:val="00431097"/>
    <w:rsid w:val="0043153F"/>
    <w:rsid w:val="004315D2"/>
    <w:rsid w:val="00431A79"/>
    <w:rsid w:val="00431C10"/>
    <w:rsid w:val="00431CF3"/>
    <w:rsid w:val="0043252E"/>
    <w:rsid w:val="0043271F"/>
    <w:rsid w:val="00432D8D"/>
    <w:rsid w:val="00434301"/>
    <w:rsid w:val="004345EA"/>
    <w:rsid w:val="00434C81"/>
    <w:rsid w:val="00434D65"/>
    <w:rsid w:val="004357DA"/>
    <w:rsid w:val="00435CDA"/>
    <w:rsid w:val="00437164"/>
    <w:rsid w:val="0043729F"/>
    <w:rsid w:val="0043754F"/>
    <w:rsid w:val="00437826"/>
    <w:rsid w:val="00437953"/>
    <w:rsid w:val="00437E4E"/>
    <w:rsid w:val="00441108"/>
    <w:rsid w:val="00441129"/>
    <w:rsid w:val="004412FE"/>
    <w:rsid w:val="00441A76"/>
    <w:rsid w:val="00441CF2"/>
    <w:rsid w:val="00443762"/>
    <w:rsid w:val="00443D38"/>
    <w:rsid w:val="00444050"/>
    <w:rsid w:val="004442AC"/>
    <w:rsid w:val="004444E2"/>
    <w:rsid w:val="00444BF4"/>
    <w:rsid w:val="00444E72"/>
    <w:rsid w:val="0044571F"/>
    <w:rsid w:val="00445FA1"/>
    <w:rsid w:val="0044637A"/>
    <w:rsid w:val="00446FA8"/>
    <w:rsid w:val="00447119"/>
    <w:rsid w:val="004473B4"/>
    <w:rsid w:val="0044789D"/>
    <w:rsid w:val="0044791E"/>
    <w:rsid w:val="00447E4C"/>
    <w:rsid w:val="00447EB8"/>
    <w:rsid w:val="00450244"/>
    <w:rsid w:val="00450BCB"/>
    <w:rsid w:val="004514EA"/>
    <w:rsid w:val="00451628"/>
    <w:rsid w:val="0045197C"/>
    <w:rsid w:val="00451CE5"/>
    <w:rsid w:val="0045252E"/>
    <w:rsid w:val="004526C8"/>
    <w:rsid w:val="00452721"/>
    <w:rsid w:val="00452D8D"/>
    <w:rsid w:val="004538F9"/>
    <w:rsid w:val="00453C4A"/>
    <w:rsid w:val="00453EBF"/>
    <w:rsid w:val="00453ED7"/>
    <w:rsid w:val="004547C7"/>
    <w:rsid w:val="004548E5"/>
    <w:rsid w:val="00454CD8"/>
    <w:rsid w:val="004550B0"/>
    <w:rsid w:val="004550B8"/>
    <w:rsid w:val="00455190"/>
    <w:rsid w:val="00455CE2"/>
    <w:rsid w:val="00455D74"/>
    <w:rsid w:val="00456720"/>
    <w:rsid w:val="004569BD"/>
    <w:rsid w:val="00457E95"/>
    <w:rsid w:val="004600F1"/>
    <w:rsid w:val="0046057C"/>
    <w:rsid w:val="00460596"/>
    <w:rsid w:val="00460688"/>
    <w:rsid w:val="00460940"/>
    <w:rsid w:val="00460DC3"/>
    <w:rsid w:val="00460DF6"/>
    <w:rsid w:val="0046187C"/>
    <w:rsid w:val="0046202E"/>
    <w:rsid w:val="00462472"/>
    <w:rsid w:val="004627CB"/>
    <w:rsid w:val="00462853"/>
    <w:rsid w:val="004629E8"/>
    <w:rsid w:val="00462B0A"/>
    <w:rsid w:val="00462D05"/>
    <w:rsid w:val="00462D27"/>
    <w:rsid w:val="004631AC"/>
    <w:rsid w:val="00463696"/>
    <w:rsid w:val="004636C3"/>
    <w:rsid w:val="00463D0D"/>
    <w:rsid w:val="00464154"/>
    <w:rsid w:val="00464262"/>
    <w:rsid w:val="00464779"/>
    <w:rsid w:val="0046497A"/>
    <w:rsid w:val="00464CC0"/>
    <w:rsid w:val="0046548F"/>
    <w:rsid w:val="00466178"/>
    <w:rsid w:val="004664F7"/>
    <w:rsid w:val="004667C6"/>
    <w:rsid w:val="0046696B"/>
    <w:rsid w:val="004670DC"/>
    <w:rsid w:val="00470C79"/>
    <w:rsid w:val="00470E3F"/>
    <w:rsid w:val="0047103F"/>
    <w:rsid w:val="00471053"/>
    <w:rsid w:val="0047119A"/>
    <w:rsid w:val="004713E9"/>
    <w:rsid w:val="0047156C"/>
    <w:rsid w:val="004718B8"/>
    <w:rsid w:val="004720FD"/>
    <w:rsid w:val="00473446"/>
    <w:rsid w:val="0047406F"/>
    <w:rsid w:val="004747E3"/>
    <w:rsid w:val="00474C86"/>
    <w:rsid w:val="00475B2E"/>
    <w:rsid w:val="00475E36"/>
    <w:rsid w:val="00475FAA"/>
    <w:rsid w:val="004763CA"/>
    <w:rsid w:val="00476444"/>
    <w:rsid w:val="004767C6"/>
    <w:rsid w:val="00476AB2"/>
    <w:rsid w:val="004777ED"/>
    <w:rsid w:val="0047780D"/>
    <w:rsid w:val="00477CED"/>
    <w:rsid w:val="00480718"/>
    <w:rsid w:val="00480E68"/>
    <w:rsid w:val="0048153D"/>
    <w:rsid w:val="00481C27"/>
    <w:rsid w:val="00481F51"/>
    <w:rsid w:val="0048211D"/>
    <w:rsid w:val="0048212B"/>
    <w:rsid w:val="00482173"/>
    <w:rsid w:val="004823D0"/>
    <w:rsid w:val="0048241F"/>
    <w:rsid w:val="004826DF"/>
    <w:rsid w:val="004832CD"/>
    <w:rsid w:val="00484F3E"/>
    <w:rsid w:val="00484F69"/>
    <w:rsid w:val="00485078"/>
    <w:rsid w:val="004852FD"/>
    <w:rsid w:val="004857F1"/>
    <w:rsid w:val="00485AEF"/>
    <w:rsid w:val="00486330"/>
    <w:rsid w:val="004863D7"/>
    <w:rsid w:val="00486C3B"/>
    <w:rsid w:val="00487157"/>
    <w:rsid w:val="00487683"/>
    <w:rsid w:val="00487BD4"/>
    <w:rsid w:val="00487E5E"/>
    <w:rsid w:val="00487FD5"/>
    <w:rsid w:val="00490226"/>
    <w:rsid w:val="004903EB"/>
    <w:rsid w:val="00490601"/>
    <w:rsid w:val="00490704"/>
    <w:rsid w:val="004907BB"/>
    <w:rsid w:val="0049094F"/>
    <w:rsid w:val="004909CE"/>
    <w:rsid w:val="00492119"/>
    <w:rsid w:val="00492CC8"/>
    <w:rsid w:val="00493CFA"/>
    <w:rsid w:val="00493E0A"/>
    <w:rsid w:val="0049445E"/>
    <w:rsid w:val="00494A86"/>
    <w:rsid w:val="00494AE5"/>
    <w:rsid w:val="00494C2E"/>
    <w:rsid w:val="00494E23"/>
    <w:rsid w:val="00494ED2"/>
    <w:rsid w:val="00495576"/>
    <w:rsid w:val="00495681"/>
    <w:rsid w:val="00495A10"/>
    <w:rsid w:val="00495A24"/>
    <w:rsid w:val="00495DB8"/>
    <w:rsid w:val="00496641"/>
    <w:rsid w:val="004967A1"/>
    <w:rsid w:val="004969CD"/>
    <w:rsid w:val="00496D8C"/>
    <w:rsid w:val="00496F72"/>
    <w:rsid w:val="0049706F"/>
    <w:rsid w:val="004976F0"/>
    <w:rsid w:val="004979B7"/>
    <w:rsid w:val="004979BC"/>
    <w:rsid w:val="00497A41"/>
    <w:rsid w:val="004A0648"/>
    <w:rsid w:val="004A0EDD"/>
    <w:rsid w:val="004A0FEF"/>
    <w:rsid w:val="004A1397"/>
    <w:rsid w:val="004A1E30"/>
    <w:rsid w:val="004A2606"/>
    <w:rsid w:val="004A2B4F"/>
    <w:rsid w:val="004A2B7C"/>
    <w:rsid w:val="004A2D22"/>
    <w:rsid w:val="004A2E1F"/>
    <w:rsid w:val="004A31E5"/>
    <w:rsid w:val="004A33C3"/>
    <w:rsid w:val="004A35B9"/>
    <w:rsid w:val="004A3B57"/>
    <w:rsid w:val="004A3F9E"/>
    <w:rsid w:val="004A42BF"/>
    <w:rsid w:val="004A480B"/>
    <w:rsid w:val="004A48D3"/>
    <w:rsid w:val="004A48E9"/>
    <w:rsid w:val="004A5149"/>
    <w:rsid w:val="004A5B8C"/>
    <w:rsid w:val="004A6022"/>
    <w:rsid w:val="004A6697"/>
    <w:rsid w:val="004A675D"/>
    <w:rsid w:val="004A6A95"/>
    <w:rsid w:val="004A77F2"/>
    <w:rsid w:val="004A7CF8"/>
    <w:rsid w:val="004A7EED"/>
    <w:rsid w:val="004B04F0"/>
    <w:rsid w:val="004B0535"/>
    <w:rsid w:val="004B0FB8"/>
    <w:rsid w:val="004B10EC"/>
    <w:rsid w:val="004B11E3"/>
    <w:rsid w:val="004B11E6"/>
    <w:rsid w:val="004B12A5"/>
    <w:rsid w:val="004B13E6"/>
    <w:rsid w:val="004B14B9"/>
    <w:rsid w:val="004B16F2"/>
    <w:rsid w:val="004B1942"/>
    <w:rsid w:val="004B1D23"/>
    <w:rsid w:val="004B1D47"/>
    <w:rsid w:val="004B29C0"/>
    <w:rsid w:val="004B330B"/>
    <w:rsid w:val="004B34CD"/>
    <w:rsid w:val="004B3B80"/>
    <w:rsid w:val="004B419E"/>
    <w:rsid w:val="004B4AB3"/>
    <w:rsid w:val="004B4C45"/>
    <w:rsid w:val="004B4C9D"/>
    <w:rsid w:val="004B4E08"/>
    <w:rsid w:val="004B4E67"/>
    <w:rsid w:val="004B5130"/>
    <w:rsid w:val="004B54A2"/>
    <w:rsid w:val="004B57D6"/>
    <w:rsid w:val="004B58F2"/>
    <w:rsid w:val="004B5D23"/>
    <w:rsid w:val="004B5EBF"/>
    <w:rsid w:val="004B638C"/>
    <w:rsid w:val="004B6943"/>
    <w:rsid w:val="004B7ECC"/>
    <w:rsid w:val="004C012F"/>
    <w:rsid w:val="004C0274"/>
    <w:rsid w:val="004C0363"/>
    <w:rsid w:val="004C05E7"/>
    <w:rsid w:val="004C06B2"/>
    <w:rsid w:val="004C074F"/>
    <w:rsid w:val="004C0B5A"/>
    <w:rsid w:val="004C10F0"/>
    <w:rsid w:val="004C1170"/>
    <w:rsid w:val="004C1358"/>
    <w:rsid w:val="004C13F6"/>
    <w:rsid w:val="004C1556"/>
    <w:rsid w:val="004C159B"/>
    <w:rsid w:val="004C1CFB"/>
    <w:rsid w:val="004C1DF5"/>
    <w:rsid w:val="004C22CD"/>
    <w:rsid w:val="004C2ABB"/>
    <w:rsid w:val="004C33A7"/>
    <w:rsid w:val="004C363E"/>
    <w:rsid w:val="004C3960"/>
    <w:rsid w:val="004C3E8D"/>
    <w:rsid w:val="004C4091"/>
    <w:rsid w:val="004C419D"/>
    <w:rsid w:val="004C449D"/>
    <w:rsid w:val="004C4794"/>
    <w:rsid w:val="004C493A"/>
    <w:rsid w:val="004C4BA9"/>
    <w:rsid w:val="004C4C24"/>
    <w:rsid w:val="004C4D0C"/>
    <w:rsid w:val="004C5914"/>
    <w:rsid w:val="004C5A78"/>
    <w:rsid w:val="004C5B70"/>
    <w:rsid w:val="004C6058"/>
    <w:rsid w:val="004C61CC"/>
    <w:rsid w:val="004C6905"/>
    <w:rsid w:val="004C6CF7"/>
    <w:rsid w:val="004C7017"/>
    <w:rsid w:val="004D0472"/>
    <w:rsid w:val="004D04DE"/>
    <w:rsid w:val="004D04FF"/>
    <w:rsid w:val="004D0513"/>
    <w:rsid w:val="004D061E"/>
    <w:rsid w:val="004D09D9"/>
    <w:rsid w:val="004D0D40"/>
    <w:rsid w:val="004D107C"/>
    <w:rsid w:val="004D2139"/>
    <w:rsid w:val="004D216C"/>
    <w:rsid w:val="004D21E1"/>
    <w:rsid w:val="004D260B"/>
    <w:rsid w:val="004D375D"/>
    <w:rsid w:val="004D4070"/>
    <w:rsid w:val="004D4298"/>
    <w:rsid w:val="004D440C"/>
    <w:rsid w:val="004D45BD"/>
    <w:rsid w:val="004D4AF7"/>
    <w:rsid w:val="004D4D23"/>
    <w:rsid w:val="004D4F44"/>
    <w:rsid w:val="004D5232"/>
    <w:rsid w:val="004D53E8"/>
    <w:rsid w:val="004D5694"/>
    <w:rsid w:val="004D5E00"/>
    <w:rsid w:val="004D5F6E"/>
    <w:rsid w:val="004D6BC8"/>
    <w:rsid w:val="004D6F5C"/>
    <w:rsid w:val="004D720D"/>
    <w:rsid w:val="004D7A1B"/>
    <w:rsid w:val="004E0092"/>
    <w:rsid w:val="004E0996"/>
    <w:rsid w:val="004E0EFA"/>
    <w:rsid w:val="004E15CD"/>
    <w:rsid w:val="004E19B1"/>
    <w:rsid w:val="004E2241"/>
    <w:rsid w:val="004E24A3"/>
    <w:rsid w:val="004E2F19"/>
    <w:rsid w:val="004E307E"/>
    <w:rsid w:val="004E35CF"/>
    <w:rsid w:val="004E3BD9"/>
    <w:rsid w:val="004E3C4B"/>
    <w:rsid w:val="004E43DE"/>
    <w:rsid w:val="004E49C6"/>
    <w:rsid w:val="004E4FB3"/>
    <w:rsid w:val="004E56AD"/>
    <w:rsid w:val="004E5876"/>
    <w:rsid w:val="004E59ED"/>
    <w:rsid w:val="004E5FD1"/>
    <w:rsid w:val="004E6730"/>
    <w:rsid w:val="004E673A"/>
    <w:rsid w:val="004E6935"/>
    <w:rsid w:val="004E6F5D"/>
    <w:rsid w:val="004E7D48"/>
    <w:rsid w:val="004E7ED2"/>
    <w:rsid w:val="004E7EE4"/>
    <w:rsid w:val="004E7F17"/>
    <w:rsid w:val="004F01F5"/>
    <w:rsid w:val="004F0718"/>
    <w:rsid w:val="004F0788"/>
    <w:rsid w:val="004F0D10"/>
    <w:rsid w:val="004F0D8C"/>
    <w:rsid w:val="004F1368"/>
    <w:rsid w:val="004F13CB"/>
    <w:rsid w:val="004F18A7"/>
    <w:rsid w:val="004F1C2A"/>
    <w:rsid w:val="004F223C"/>
    <w:rsid w:val="004F22C0"/>
    <w:rsid w:val="004F27FF"/>
    <w:rsid w:val="004F2C73"/>
    <w:rsid w:val="004F2C81"/>
    <w:rsid w:val="004F2F3A"/>
    <w:rsid w:val="004F3995"/>
    <w:rsid w:val="004F44A2"/>
    <w:rsid w:val="004F4512"/>
    <w:rsid w:val="004F506C"/>
    <w:rsid w:val="004F5100"/>
    <w:rsid w:val="004F5139"/>
    <w:rsid w:val="004F54E8"/>
    <w:rsid w:val="004F59B6"/>
    <w:rsid w:val="004F5B84"/>
    <w:rsid w:val="004F5DD3"/>
    <w:rsid w:val="004F64BF"/>
    <w:rsid w:val="004F6970"/>
    <w:rsid w:val="004F6B6B"/>
    <w:rsid w:val="004F716F"/>
    <w:rsid w:val="004F73C3"/>
    <w:rsid w:val="004F78DE"/>
    <w:rsid w:val="004F7AA5"/>
    <w:rsid w:val="004F7AE5"/>
    <w:rsid w:val="00500011"/>
    <w:rsid w:val="0050023A"/>
    <w:rsid w:val="00500524"/>
    <w:rsid w:val="00500B15"/>
    <w:rsid w:val="00500BB0"/>
    <w:rsid w:val="00500FC9"/>
    <w:rsid w:val="00501699"/>
    <w:rsid w:val="00501793"/>
    <w:rsid w:val="00501B72"/>
    <w:rsid w:val="0050213A"/>
    <w:rsid w:val="00502293"/>
    <w:rsid w:val="0050267F"/>
    <w:rsid w:val="005027D9"/>
    <w:rsid w:val="0050295B"/>
    <w:rsid w:val="00502CAD"/>
    <w:rsid w:val="00502E49"/>
    <w:rsid w:val="00502F06"/>
    <w:rsid w:val="0050417F"/>
    <w:rsid w:val="00504908"/>
    <w:rsid w:val="005049EF"/>
    <w:rsid w:val="00504A13"/>
    <w:rsid w:val="00504A9C"/>
    <w:rsid w:val="005051BA"/>
    <w:rsid w:val="0050524A"/>
    <w:rsid w:val="00505469"/>
    <w:rsid w:val="00505650"/>
    <w:rsid w:val="00505777"/>
    <w:rsid w:val="005061B8"/>
    <w:rsid w:val="005065D8"/>
    <w:rsid w:val="00506646"/>
    <w:rsid w:val="005069C6"/>
    <w:rsid w:val="005071F8"/>
    <w:rsid w:val="005077D0"/>
    <w:rsid w:val="00507AC1"/>
    <w:rsid w:val="00510554"/>
    <w:rsid w:val="00510A6E"/>
    <w:rsid w:val="00510CA9"/>
    <w:rsid w:val="00511092"/>
    <w:rsid w:val="005115F2"/>
    <w:rsid w:val="005116F0"/>
    <w:rsid w:val="005118D6"/>
    <w:rsid w:val="00511AAB"/>
    <w:rsid w:val="00511C56"/>
    <w:rsid w:val="00511DE7"/>
    <w:rsid w:val="00511F2A"/>
    <w:rsid w:val="00512A97"/>
    <w:rsid w:val="005130FB"/>
    <w:rsid w:val="005134AD"/>
    <w:rsid w:val="0051378C"/>
    <w:rsid w:val="005145C1"/>
    <w:rsid w:val="005149A7"/>
    <w:rsid w:val="00514C19"/>
    <w:rsid w:val="00514E75"/>
    <w:rsid w:val="005158FE"/>
    <w:rsid w:val="0051628F"/>
    <w:rsid w:val="0051631A"/>
    <w:rsid w:val="0051640E"/>
    <w:rsid w:val="00516AAA"/>
    <w:rsid w:val="00516D22"/>
    <w:rsid w:val="00517116"/>
    <w:rsid w:val="005171BB"/>
    <w:rsid w:val="00517522"/>
    <w:rsid w:val="00517525"/>
    <w:rsid w:val="0052009E"/>
    <w:rsid w:val="0052135E"/>
    <w:rsid w:val="005217A8"/>
    <w:rsid w:val="005218CC"/>
    <w:rsid w:val="00521A46"/>
    <w:rsid w:val="00521E60"/>
    <w:rsid w:val="00521F13"/>
    <w:rsid w:val="005227D5"/>
    <w:rsid w:val="00522FD6"/>
    <w:rsid w:val="00523131"/>
    <w:rsid w:val="005232ED"/>
    <w:rsid w:val="005233D2"/>
    <w:rsid w:val="0052374A"/>
    <w:rsid w:val="00523A0C"/>
    <w:rsid w:val="0052408A"/>
    <w:rsid w:val="005240D5"/>
    <w:rsid w:val="00524D89"/>
    <w:rsid w:val="00524F01"/>
    <w:rsid w:val="00524F1D"/>
    <w:rsid w:val="00525160"/>
    <w:rsid w:val="005254C7"/>
    <w:rsid w:val="00526128"/>
    <w:rsid w:val="00526278"/>
    <w:rsid w:val="00526319"/>
    <w:rsid w:val="00526338"/>
    <w:rsid w:val="00526A07"/>
    <w:rsid w:val="005270F8"/>
    <w:rsid w:val="00527918"/>
    <w:rsid w:val="00527DAA"/>
    <w:rsid w:val="00527E72"/>
    <w:rsid w:val="00530174"/>
    <w:rsid w:val="00530CD1"/>
    <w:rsid w:val="00530DC9"/>
    <w:rsid w:val="0053117F"/>
    <w:rsid w:val="005314DA"/>
    <w:rsid w:val="005314FE"/>
    <w:rsid w:val="00531A42"/>
    <w:rsid w:val="00531BE5"/>
    <w:rsid w:val="00531E95"/>
    <w:rsid w:val="00532152"/>
    <w:rsid w:val="0053217A"/>
    <w:rsid w:val="0053238F"/>
    <w:rsid w:val="00533ACC"/>
    <w:rsid w:val="00533D8F"/>
    <w:rsid w:val="005340A1"/>
    <w:rsid w:val="0053436A"/>
    <w:rsid w:val="0053443A"/>
    <w:rsid w:val="005345A1"/>
    <w:rsid w:val="00534AE7"/>
    <w:rsid w:val="00534D04"/>
    <w:rsid w:val="00534FC4"/>
    <w:rsid w:val="005352A4"/>
    <w:rsid w:val="005354CC"/>
    <w:rsid w:val="005355F2"/>
    <w:rsid w:val="00536258"/>
    <w:rsid w:val="00536465"/>
    <w:rsid w:val="0053656F"/>
    <w:rsid w:val="005368AA"/>
    <w:rsid w:val="00536F38"/>
    <w:rsid w:val="00537226"/>
    <w:rsid w:val="00537333"/>
    <w:rsid w:val="0053750B"/>
    <w:rsid w:val="0053753A"/>
    <w:rsid w:val="00537FA1"/>
    <w:rsid w:val="00540145"/>
    <w:rsid w:val="0054040A"/>
    <w:rsid w:val="00540768"/>
    <w:rsid w:val="0054080D"/>
    <w:rsid w:val="00540FF8"/>
    <w:rsid w:val="00541D59"/>
    <w:rsid w:val="00541F93"/>
    <w:rsid w:val="00542934"/>
    <w:rsid w:val="0054331A"/>
    <w:rsid w:val="0054351C"/>
    <w:rsid w:val="005438AA"/>
    <w:rsid w:val="00543B36"/>
    <w:rsid w:val="00543E50"/>
    <w:rsid w:val="00543F0C"/>
    <w:rsid w:val="00544B63"/>
    <w:rsid w:val="00544CE8"/>
    <w:rsid w:val="00545249"/>
    <w:rsid w:val="0054570C"/>
    <w:rsid w:val="0054585A"/>
    <w:rsid w:val="00545ACF"/>
    <w:rsid w:val="00545F5B"/>
    <w:rsid w:val="00546653"/>
    <w:rsid w:val="00546670"/>
    <w:rsid w:val="0054675B"/>
    <w:rsid w:val="005467B8"/>
    <w:rsid w:val="00546B96"/>
    <w:rsid w:val="00546ED7"/>
    <w:rsid w:val="0054713C"/>
    <w:rsid w:val="005477DD"/>
    <w:rsid w:val="00547A3E"/>
    <w:rsid w:val="00551C1B"/>
    <w:rsid w:val="005522C5"/>
    <w:rsid w:val="0055282F"/>
    <w:rsid w:val="00552B13"/>
    <w:rsid w:val="0055328F"/>
    <w:rsid w:val="00553297"/>
    <w:rsid w:val="0055331D"/>
    <w:rsid w:val="00553357"/>
    <w:rsid w:val="0055358F"/>
    <w:rsid w:val="005536C0"/>
    <w:rsid w:val="005537EC"/>
    <w:rsid w:val="0055385C"/>
    <w:rsid w:val="00553BC5"/>
    <w:rsid w:val="00553F59"/>
    <w:rsid w:val="005546CC"/>
    <w:rsid w:val="00554823"/>
    <w:rsid w:val="005552EB"/>
    <w:rsid w:val="00555ABD"/>
    <w:rsid w:val="00555AD8"/>
    <w:rsid w:val="00555B4B"/>
    <w:rsid w:val="00555E2E"/>
    <w:rsid w:val="00556107"/>
    <w:rsid w:val="00556176"/>
    <w:rsid w:val="0055630E"/>
    <w:rsid w:val="00556F11"/>
    <w:rsid w:val="00557EF6"/>
    <w:rsid w:val="005607CD"/>
    <w:rsid w:val="005609C4"/>
    <w:rsid w:val="00561299"/>
    <w:rsid w:val="005619E1"/>
    <w:rsid w:val="00561C29"/>
    <w:rsid w:val="00562286"/>
    <w:rsid w:val="005622E5"/>
    <w:rsid w:val="00562505"/>
    <w:rsid w:val="005625A8"/>
    <w:rsid w:val="00562B28"/>
    <w:rsid w:val="00562B77"/>
    <w:rsid w:val="00562EC7"/>
    <w:rsid w:val="005631A2"/>
    <w:rsid w:val="00564ABA"/>
    <w:rsid w:val="00564C26"/>
    <w:rsid w:val="00564FC5"/>
    <w:rsid w:val="0056574A"/>
    <w:rsid w:val="00565998"/>
    <w:rsid w:val="00565DCA"/>
    <w:rsid w:val="00566FB8"/>
    <w:rsid w:val="00567166"/>
    <w:rsid w:val="005672AE"/>
    <w:rsid w:val="00567650"/>
    <w:rsid w:val="00567C14"/>
    <w:rsid w:val="00567CB8"/>
    <w:rsid w:val="00567D8A"/>
    <w:rsid w:val="005701F4"/>
    <w:rsid w:val="005703DA"/>
    <w:rsid w:val="00570CB3"/>
    <w:rsid w:val="00570E89"/>
    <w:rsid w:val="00570ECC"/>
    <w:rsid w:val="00570EF2"/>
    <w:rsid w:val="00570F99"/>
    <w:rsid w:val="00571005"/>
    <w:rsid w:val="00572286"/>
    <w:rsid w:val="0057233D"/>
    <w:rsid w:val="005727F7"/>
    <w:rsid w:val="00572C60"/>
    <w:rsid w:val="0057344B"/>
    <w:rsid w:val="00573BDE"/>
    <w:rsid w:val="00573CFC"/>
    <w:rsid w:val="00574BA1"/>
    <w:rsid w:val="0057520F"/>
    <w:rsid w:val="00575849"/>
    <w:rsid w:val="00575B19"/>
    <w:rsid w:val="00575CD8"/>
    <w:rsid w:val="00575D0B"/>
    <w:rsid w:val="00575FCC"/>
    <w:rsid w:val="00576B7B"/>
    <w:rsid w:val="00576D55"/>
    <w:rsid w:val="00577135"/>
    <w:rsid w:val="00577379"/>
    <w:rsid w:val="00577A0A"/>
    <w:rsid w:val="00577ABC"/>
    <w:rsid w:val="00577D48"/>
    <w:rsid w:val="0058053F"/>
    <w:rsid w:val="00580744"/>
    <w:rsid w:val="0058094D"/>
    <w:rsid w:val="00581303"/>
    <w:rsid w:val="0058180F"/>
    <w:rsid w:val="00581820"/>
    <w:rsid w:val="00581B38"/>
    <w:rsid w:val="00581DEA"/>
    <w:rsid w:val="00581E6B"/>
    <w:rsid w:val="00582057"/>
    <w:rsid w:val="00583416"/>
    <w:rsid w:val="00583A82"/>
    <w:rsid w:val="00584220"/>
    <w:rsid w:val="00585097"/>
    <w:rsid w:val="005850A0"/>
    <w:rsid w:val="0058514E"/>
    <w:rsid w:val="005859C3"/>
    <w:rsid w:val="00586313"/>
    <w:rsid w:val="00586342"/>
    <w:rsid w:val="005874E6"/>
    <w:rsid w:val="00587DB4"/>
    <w:rsid w:val="005908F7"/>
    <w:rsid w:val="00590ACD"/>
    <w:rsid w:val="00590FC5"/>
    <w:rsid w:val="005910B6"/>
    <w:rsid w:val="005919D5"/>
    <w:rsid w:val="00591AE2"/>
    <w:rsid w:val="00591C97"/>
    <w:rsid w:val="00591FC3"/>
    <w:rsid w:val="005927D8"/>
    <w:rsid w:val="00592A14"/>
    <w:rsid w:val="00592B0E"/>
    <w:rsid w:val="00593004"/>
    <w:rsid w:val="005933EA"/>
    <w:rsid w:val="00593FCD"/>
    <w:rsid w:val="00594182"/>
    <w:rsid w:val="00594416"/>
    <w:rsid w:val="00594521"/>
    <w:rsid w:val="00594610"/>
    <w:rsid w:val="00594CDC"/>
    <w:rsid w:val="00594D67"/>
    <w:rsid w:val="005950D4"/>
    <w:rsid w:val="00595244"/>
    <w:rsid w:val="005953E8"/>
    <w:rsid w:val="0059595B"/>
    <w:rsid w:val="00595AEF"/>
    <w:rsid w:val="00596522"/>
    <w:rsid w:val="00596808"/>
    <w:rsid w:val="00596A2B"/>
    <w:rsid w:val="00596C2E"/>
    <w:rsid w:val="00596EB6"/>
    <w:rsid w:val="00596FC5"/>
    <w:rsid w:val="00597516"/>
    <w:rsid w:val="005978AD"/>
    <w:rsid w:val="00597981"/>
    <w:rsid w:val="005A00FD"/>
    <w:rsid w:val="005A08A7"/>
    <w:rsid w:val="005A0CDF"/>
    <w:rsid w:val="005A0EA6"/>
    <w:rsid w:val="005A1247"/>
    <w:rsid w:val="005A16C3"/>
    <w:rsid w:val="005A1AB0"/>
    <w:rsid w:val="005A2482"/>
    <w:rsid w:val="005A32FA"/>
    <w:rsid w:val="005A3444"/>
    <w:rsid w:val="005A352D"/>
    <w:rsid w:val="005A3FDF"/>
    <w:rsid w:val="005A4307"/>
    <w:rsid w:val="005A4A23"/>
    <w:rsid w:val="005A4BF4"/>
    <w:rsid w:val="005A4DC0"/>
    <w:rsid w:val="005A56F5"/>
    <w:rsid w:val="005A60F7"/>
    <w:rsid w:val="005A631D"/>
    <w:rsid w:val="005A6456"/>
    <w:rsid w:val="005A776D"/>
    <w:rsid w:val="005A7788"/>
    <w:rsid w:val="005A79A1"/>
    <w:rsid w:val="005B04C3"/>
    <w:rsid w:val="005B058E"/>
    <w:rsid w:val="005B05AF"/>
    <w:rsid w:val="005B0958"/>
    <w:rsid w:val="005B0F6C"/>
    <w:rsid w:val="005B1674"/>
    <w:rsid w:val="005B1A0C"/>
    <w:rsid w:val="005B1BD5"/>
    <w:rsid w:val="005B1D6B"/>
    <w:rsid w:val="005B1FF7"/>
    <w:rsid w:val="005B2B5A"/>
    <w:rsid w:val="005B2BAA"/>
    <w:rsid w:val="005B2E4B"/>
    <w:rsid w:val="005B2ED3"/>
    <w:rsid w:val="005B2F65"/>
    <w:rsid w:val="005B371D"/>
    <w:rsid w:val="005B3A24"/>
    <w:rsid w:val="005B3C19"/>
    <w:rsid w:val="005B4262"/>
    <w:rsid w:val="005B43E7"/>
    <w:rsid w:val="005B4EA4"/>
    <w:rsid w:val="005B5542"/>
    <w:rsid w:val="005B5585"/>
    <w:rsid w:val="005B6756"/>
    <w:rsid w:val="005B7071"/>
    <w:rsid w:val="005B76E7"/>
    <w:rsid w:val="005C0056"/>
    <w:rsid w:val="005C04FA"/>
    <w:rsid w:val="005C235F"/>
    <w:rsid w:val="005C2B09"/>
    <w:rsid w:val="005C2EB4"/>
    <w:rsid w:val="005C2EBC"/>
    <w:rsid w:val="005C3297"/>
    <w:rsid w:val="005C3D38"/>
    <w:rsid w:val="005C3EF4"/>
    <w:rsid w:val="005C459D"/>
    <w:rsid w:val="005C4C02"/>
    <w:rsid w:val="005C4E04"/>
    <w:rsid w:val="005C53EB"/>
    <w:rsid w:val="005C53F4"/>
    <w:rsid w:val="005C5986"/>
    <w:rsid w:val="005C63AA"/>
    <w:rsid w:val="005C63EE"/>
    <w:rsid w:val="005C6638"/>
    <w:rsid w:val="005C6CA6"/>
    <w:rsid w:val="005C71A4"/>
    <w:rsid w:val="005C7425"/>
    <w:rsid w:val="005C781F"/>
    <w:rsid w:val="005C7B94"/>
    <w:rsid w:val="005C7DBB"/>
    <w:rsid w:val="005D00DF"/>
    <w:rsid w:val="005D02A0"/>
    <w:rsid w:val="005D04E4"/>
    <w:rsid w:val="005D0783"/>
    <w:rsid w:val="005D0A4C"/>
    <w:rsid w:val="005D0BDB"/>
    <w:rsid w:val="005D0F92"/>
    <w:rsid w:val="005D1078"/>
    <w:rsid w:val="005D1272"/>
    <w:rsid w:val="005D14A4"/>
    <w:rsid w:val="005D1936"/>
    <w:rsid w:val="005D1AE3"/>
    <w:rsid w:val="005D1BA0"/>
    <w:rsid w:val="005D2DC4"/>
    <w:rsid w:val="005D2E84"/>
    <w:rsid w:val="005D2ECB"/>
    <w:rsid w:val="005D34D8"/>
    <w:rsid w:val="005D3AC5"/>
    <w:rsid w:val="005D3B38"/>
    <w:rsid w:val="005D3D95"/>
    <w:rsid w:val="005D421C"/>
    <w:rsid w:val="005D4279"/>
    <w:rsid w:val="005D4353"/>
    <w:rsid w:val="005D44C3"/>
    <w:rsid w:val="005D4725"/>
    <w:rsid w:val="005D4A94"/>
    <w:rsid w:val="005D4F23"/>
    <w:rsid w:val="005D4FFB"/>
    <w:rsid w:val="005D5157"/>
    <w:rsid w:val="005D5178"/>
    <w:rsid w:val="005D540A"/>
    <w:rsid w:val="005D5C25"/>
    <w:rsid w:val="005D5D65"/>
    <w:rsid w:val="005D5E84"/>
    <w:rsid w:val="005D6436"/>
    <w:rsid w:val="005D6451"/>
    <w:rsid w:val="005D67B2"/>
    <w:rsid w:val="005D6986"/>
    <w:rsid w:val="005D6B3E"/>
    <w:rsid w:val="005D6D83"/>
    <w:rsid w:val="005D6E7B"/>
    <w:rsid w:val="005D7335"/>
    <w:rsid w:val="005D7B65"/>
    <w:rsid w:val="005E02DE"/>
    <w:rsid w:val="005E05F5"/>
    <w:rsid w:val="005E08C0"/>
    <w:rsid w:val="005E0BAF"/>
    <w:rsid w:val="005E0FDC"/>
    <w:rsid w:val="005E1ABD"/>
    <w:rsid w:val="005E1B84"/>
    <w:rsid w:val="005E1C63"/>
    <w:rsid w:val="005E265D"/>
    <w:rsid w:val="005E27BF"/>
    <w:rsid w:val="005E2ADB"/>
    <w:rsid w:val="005E2DE1"/>
    <w:rsid w:val="005E314A"/>
    <w:rsid w:val="005E4604"/>
    <w:rsid w:val="005E4896"/>
    <w:rsid w:val="005E4932"/>
    <w:rsid w:val="005E49BC"/>
    <w:rsid w:val="005E4F9D"/>
    <w:rsid w:val="005E528F"/>
    <w:rsid w:val="005E55C0"/>
    <w:rsid w:val="005E567F"/>
    <w:rsid w:val="005E5AAB"/>
    <w:rsid w:val="005E5C09"/>
    <w:rsid w:val="005E5D06"/>
    <w:rsid w:val="005E5FC8"/>
    <w:rsid w:val="005E6897"/>
    <w:rsid w:val="005E6943"/>
    <w:rsid w:val="005E6AEF"/>
    <w:rsid w:val="005E6B21"/>
    <w:rsid w:val="005E7387"/>
    <w:rsid w:val="005E75D7"/>
    <w:rsid w:val="005E7828"/>
    <w:rsid w:val="005E7889"/>
    <w:rsid w:val="005E7ADE"/>
    <w:rsid w:val="005F1102"/>
    <w:rsid w:val="005F15A1"/>
    <w:rsid w:val="005F267E"/>
    <w:rsid w:val="005F2A60"/>
    <w:rsid w:val="005F2AFB"/>
    <w:rsid w:val="005F2C4F"/>
    <w:rsid w:val="005F3E81"/>
    <w:rsid w:val="005F47CE"/>
    <w:rsid w:val="005F489C"/>
    <w:rsid w:val="005F4B7A"/>
    <w:rsid w:val="005F4D4A"/>
    <w:rsid w:val="005F50EF"/>
    <w:rsid w:val="005F5B70"/>
    <w:rsid w:val="005F5BA6"/>
    <w:rsid w:val="005F5E9C"/>
    <w:rsid w:val="005F65B0"/>
    <w:rsid w:val="005F686A"/>
    <w:rsid w:val="005F68A8"/>
    <w:rsid w:val="005F6B85"/>
    <w:rsid w:val="005F6CAB"/>
    <w:rsid w:val="005F6E03"/>
    <w:rsid w:val="005F7171"/>
    <w:rsid w:val="005F72BF"/>
    <w:rsid w:val="005F77E6"/>
    <w:rsid w:val="005F7D16"/>
    <w:rsid w:val="00600E35"/>
    <w:rsid w:val="0060167C"/>
    <w:rsid w:val="00602488"/>
    <w:rsid w:val="00602746"/>
    <w:rsid w:val="00602836"/>
    <w:rsid w:val="006034E7"/>
    <w:rsid w:val="00603C39"/>
    <w:rsid w:val="00604089"/>
    <w:rsid w:val="00604125"/>
    <w:rsid w:val="00604782"/>
    <w:rsid w:val="00604D8C"/>
    <w:rsid w:val="00605A7B"/>
    <w:rsid w:val="006066D6"/>
    <w:rsid w:val="00606971"/>
    <w:rsid w:val="00606FCA"/>
    <w:rsid w:val="006072FB"/>
    <w:rsid w:val="0060762D"/>
    <w:rsid w:val="00607650"/>
    <w:rsid w:val="006101C3"/>
    <w:rsid w:val="00610571"/>
    <w:rsid w:val="0061073B"/>
    <w:rsid w:val="006108D0"/>
    <w:rsid w:val="00610A63"/>
    <w:rsid w:val="00610BE9"/>
    <w:rsid w:val="00610C6A"/>
    <w:rsid w:val="00611068"/>
    <w:rsid w:val="0061124C"/>
    <w:rsid w:val="0061216D"/>
    <w:rsid w:val="006121BD"/>
    <w:rsid w:val="006129D6"/>
    <w:rsid w:val="00612BD8"/>
    <w:rsid w:val="00612E19"/>
    <w:rsid w:val="00612E24"/>
    <w:rsid w:val="00612EFA"/>
    <w:rsid w:val="0061310C"/>
    <w:rsid w:val="006133CA"/>
    <w:rsid w:val="006135F3"/>
    <w:rsid w:val="006137F9"/>
    <w:rsid w:val="00613856"/>
    <w:rsid w:val="0061446B"/>
    <w:rsid w:val="006145B2"/>
    <w:rsid w:val="00614698"/>
    <w:rsid w:val="0061487B"/>
    <w:rsid w:val="00614A48"/>
    <w:rsid w:val="00614A66"/>
    <w:rsid w:val="00614F78"/>
    <w:rsid w:val="0061529B"/>
    <w:rsid w:val="00615502"/>
    <w:rsid w:val="0061584C"/>
    <w:rsid w:val="00615AE0"/>
    <w:rsid w:val="0061641B"/>
    <w:rsid w:val="0061661C"/>
    <w:rsid w:val="00616FF1"/>
    <w:rsid w:val="00617389"/>
    <w:rsid w:val="00617600"/>
    <w:rsid w:val="00617D4B"/>
    <w:rsid w:val="00617D88"/>
    <w:rsid w:val="00617F1A"/>
    <w:rsid w:val="00617FD3"/>
    <w:rsid w:val="00620697"/>
    <w:rsid w:val="00620BD5"/>
    <w:rsid w:val="00621988"/>
    <w:rsid w:val="00622276"/>
    <w:rsid w:val="00622306"/>
    <w:rsid w:val="0062267D"/>
    <w:rsid w:val="00622FEC"/>
    <w:rsid w:val="0062380C"/>
    <w:rsid w:val="0062388F"/>
    <w:rsid w:val="006238B2"/>
    <w:rsid w:val="00623926"/>
    <w:rsid w:val="00623B83"/>
    <w:rsid w:val="006246D0"/>
    <w:rsid w:val="00624A1B"/>
    <w:rsid w:val="00624FD6"/>
    <w:rsid w:val="006254E8"/>
    <w:rsid w:val="00625638"/>
    <w:rsid w:val="00625929"/>
    <w:rsid w:val="00626761"/>
    <w:rsid w:val="00626FC6"/>
    <w:rsid w:val="006273EA"/>
    <w:rsid w:val="006275FE"/>
    <w:rsid w:val="006279F8"/>
    <w:rsid w:val="00627FFC"/>
    <w:rsid w:val="0063018A"/>
    <w:rsid w:val="00630231"/>
    <w:rsid w:val="00630E5D"/>
    <w:rsid w:val="00630EAB"/>
    <w:rsid w:val="00630F06"/>
    <w:rsid w:val="0063103E"/>
    <w:rsid w:val="006315AD"/>
    <w:rsid w:val="00632467"/>
    <w:rsid w:val="006329B9"/>
    <w:rsid w:val="006334C6"/>
    <w:rsid w:val="00633864"/>
    <w:rsid w:val="00633DA5"/>
    <w:rsid w:val="00634293"/>
    <w:rsid w:val="006346B3"/>
    <w:rsid w:val="00634A00"/>
    <w:rsid w:val="006354E2"/>
    <w:rsid w:val="00635BF6"/>
    <w:rsid w:val="0063624B"/>
    <w:rsid w:val="00636691"/>
    <w:rsid w:val="00636FAE"/>
    <w:rsid w:val="00637DEA"/>
    <w:rsid w:val="00640735"/>
    <w:rsid w:val="00640925"/>
    <w:rsid w:val="0064097C"/>
    <w:rsid w:val="00640C26"/>
    <w:rsid w:val="00640F09"/>
    <w:rsid w:val="00641374"/>
    <w:rsid w:val="006413D2"/>
    <w:rsid w:val="006417D4"/>
    <w:rsid w:val="006422B2"/>
    <w:rsid w:val="00642348"/>
    <w:rsid w:val="00642840"/>
    <w:rsid w:val="00642A20"/>
    <w:rsid w:val="00642FB4"/>
    <w:rsid w:val="0064422E"/>
    <w:rsid w:val="00644C91"/>
    <w:rsid w:val="00645384"/>
    <w:rsid w:val="00645750"/>
    <w:rsid w:val="006458AC"/>
    <w:rsid w:val="00645A69"/>
    <w:rsid w:val="00645C88"/>
    <w:rsid w:val="00645F9B"/>
    <w:rsid w:val="006460C1"/>
    <w:rsid w:val="0064668A"/>
    <w:rsid w:val="00646716"/>
    <w:rsid w:val="00646851"/>
    <w:rsid w:val="00646873"/>
    <w:rsid w:val="00646DF0"/>
    <w:rsid w:val="00646FD2"/>
    <w:rsid w:val="006471A8"/>
    <w:rsid w:val="00647294"/>
    <w:rsid w:val="00647AA4"/>
    <w:rsid w:val="006502D9"/>
    <w:rsid w:val="006508A5"/>
    <w:rsid w:val="0065132A"/>
    <w:rsid w:val="00651D5C"/>
    <w:rsid w:val="006521A1"/>
    <w:rsid w:val="0065244D"/>
    <w:rsid w:val="006526E5"/>
    <w:rsid w:val="00652CF0"/>
    <w:rsid w:val="00652D79"/>
    <w:rsid w:val="00652E51"/>
    <w:rsid w:val="0065337A"/>
    <w:rsid w:val="00653620"/>
    <w:rsid w:val="00653637"/>
    <w:rsid w:val="0065380D"/>
    <w:rsid w:val="00653834"/>
    <w:rsid w:val="00653CEF"/>
    <w:rsid w:val="00654116"/>
    <w:rsid w:val="00654145"/>
    <w:rsid w:val="006541B9"/>
    <w:rsid w:val="00654DE2"/>
    <w:rsid w:val="0065500E"/>
    <w:rsid w:val="0065557B"/>
    <w:rsid w:val="006556C0"/>
    <w:rsid w:val="00655AA8"/>
    <w:rsid w:val="00655C44"/>
    <w:rsid w:val="0065615D"/>
    <w:rsid w:val="006563C6"/>
    <w:rsid w:val="00656602"/>
    <w:rsid w:val="00656702"/>
    <w:rsid w:val="00656920"/>
    <w:rsid w:val="006569B3"/>
    <w:rsid w:val="006569F3"/>
    <w:rsid w:val="00657293"/>
    <w:rsid w:val="006577F3"/>
    <w:rsid w:val="00657855"/>
    <w:rsid w:val="00657B02"/>
    <w:rsid w:val="0066026D"/>
    <w:rsid w:val="0066049B"/>
    <w:rsid w:val="00660685"/>
    <w:rsid w:val="00660C24"/>
    <w:rsid w:val="00660D6A"/>
    <w:rsid w:val="00660DA3"/>
    <w:rsid w:val="00660E6C"/>
    <w:rsid w:val="00660ED4"/>
    <w:rsid w:val="006613E3"/>
    <w:rsid w:val="00661591"/>
    <w:rsid w:val="00661E87"/>
    <w:rsid w:val="00662182"/>
    <w:rsid w:val="00662247"/>
    <w:rsid w:val="00662EB6"/>
    <w:rsid w:val="00662F81"/>
    <w:rsid w:val="0066376B"/>
    <w:rsid w:val="0066377A"/>
    <w:rsid w:val="00663C34"/>
    <w:rsid w:val="00664913"/>
    <w:rsid w:val="0066499E"/>
    <w:rsid w:val="006654F0"/>
    <w:rsid w:val="00665857"/>
    <w:rsid w:val="006658BA"/>
    <w:rsid w:val="00665B74"/>
    <w:rsid w:val="00665FE6"/>
    <w:rsid w:val="00666227"/>
    <w:rsid w:val="006664EE"/>
    <w:rsid w:val="00667E89"/>
    <w:rsid w:val="00670BC1"/>
    <w:rsid w:val="00670ECB"/>
    <w:rsid w:val="00670F14"/>
    <w:rsid w:val="006716AD"/>
    <w:rsid w:val="006717DB"/>
    <w:rsid w:val="00671C65"/>
    <w:rsid w:val="00672109"/>
    <w:rsid w:val="006729E0"/>
    <w:rsid w:val="00672E93"/>
    <w:rsid w:val="00672FF9"/>
    <w:rsid w:val="0067309B"/>
    <w:rsid w:val="00673570"/>
    <w:rsid w:val="006736BE"/>
    <w:rsid w:val="00673AEF"/>
    <w:rsid w:val="00673EDC"/>
    <w:rsid w:val="006743B7"/>
    <w:rsid w:val="006743C8"/>
    <w:rsid w:val="00674F7C"/>
    <w:rsid w:val="00675004"/>
    <w:rsid w:val="00675DA3"/>
    <w:rsid w:val="00675F27"/>
    <w:rsid w:val="0067606F"/>
    <w:rsid w:val="00676193"/>
    <w:rsid w:val="006761BB"/>
    <w:rsid w:val="006763D0"/>
    <w:rsid w:val="006764E6"/>
    <w:rsid w:val="006765C6"/>
    <w:rsid w:val="00676A8A"/>
    <w:rsid w:val="00676F9F"/>
    <w:rsid w:val="0067729D"/>
    <w:rsid w:val="006776A7"/>
    <w:rsid w:val="00677744"/>
    <w:rsid w:val="00677747"/>
    <w:rsid w:val="00677AD6"/>
    <w:rsid w:val="00677D49"/>
    <w:rsid w:val="006801B6"/>
    <w:rsid w:val="00680308"/>
    <w:rsid w:val="00680B2C"/>
    <w:rsid w:val="006810CA"/>
    <w:rsid w:val="00681683"/>
    <w:rsid w:val="00681704"/>
    <w:rsid w:val="0068193C"/>
    <w:rsid w:val="00681AD1"/>
    <w:rsid w:val="00681E43"/>
    <w:rsid w:val="006821AC"/>
    <w:rsid w:val="006821DB"/>
    <w:rsid w:val="006829BB"/>
    <w:rsid w:val="00682A2E"/>
    <w:rsid w:val="00682A48"/>
    <w:rsid w:val="00682CB4"/>
    <w:rsid w:val="00682F0A"/>
    <w:rsid w:val="00683127"/>
    <w:rsid w:val="00683324"/>
    <w:rsid w:val="00683613"/>
    <w:rsid w:val="00683960"/>
    <w:rsid w:val="00683CB4"/>
    <w:rsid w:val="00683DC5"/>
    <w:rsid w:val="006847B2"/>
    <w:rsid w:val="0068491D"/>
    <w:rsid w:val="00684A43"/>
    <w:rsid w:val="00684D80"/>
    <w:rsid w:val="006856E9"/>
    <w:rsid w:val="00685F90"/>
    <w:rsid w:val="00686664"/>
    <w:rsid w:val="00686BE6"/>
    <w:rsid w:val="00686D70"/>
    <w:rsid w:val="00686FFD"/>
    <w:rsid w:val="006875FE"/>
    <w:rsid w:val="00687C01"/>
    <w:rsid w:val="00687EFF"/>
    <w:rsid w:val="00690200"/>
    <w:rsid w:val="00690311"/>
    <w:rsid w:val="0069063F"/>
    <w:rsid w:val="00690B4E"/>
    <w:rsid w:val="00691416"/>
    <w:rsid w:val="0069149B"/>
    <w:rsid w:val="0069215B"/>
    <w:rsid w:val="0069286F"/>
    <w:rsid w:val="00692A66"/>
    <w:rsid w:val="00692BE5"/>
    <w:rsid w:val="00692EAC"/>
    <w:rsid w:val="006939F6"/>
    <w:rsid w:val="00693BA5"/>
    <w:rsid w:val="00693C08"/>
    <w:rsid w:val="00693C29"/>
    <w:rsid w:val="00693E0C"/>
    <w:rsid w:val="00694890"/>
    <w:rsid w:val="00694F51"/>
    <w:rsid w:val="00695368"/>
    <w:rsid w:val="00695889"/>
    <w:rsid w:val="00696079"/>
    <w:rsid w:val="006963E9"/>
    <w:rsid w:val="0069675C"/>
    <w:rsid w:val="006968C0"/>
    <w:rsid w:val="006968C7"/>
    <w:rsid w:val="00696903"/>
    <w:rsid w:val="00696E46"/>
    <w:rsid w:val="006978AB"/>
    <w:rsid w:val="006A0240"/>
    <w:rsid w:val="006A0503"/>
    <w:rsid w:val="006A0590"/>
    <w:rsid w:val="006A09AF"/>
    <w:rsid w:val="006A1A60"/>
    <w:rsid w:val="006A2272"/>
    <w:rsid w:val="006A234B"/>
    <w:rsid w:val="006A2DAB"/>
    <w:rsid w:val="006A38B9"/>
    <w:rsid w:val="006A3E6B"/>
    <w:rsid w:val="006A4000"/>
    <w:rsid w:val="006A475C"/>
    <w:rsid w:val="006A4779"/>
    <w:rsid w:val="006A47D3"/>
    <w:rsid w:val="006A531F"/>
    <w:rsid w:val="006A5948"/>
    <w:rsid w:val="006A6253"/>
    <w:rsid w:val="006A6379"/>
    <w:rsid w:val="006A6A29"/>
    <w:rsid w:val="006A6C9A"/>
    <w:rsid w:val="006A6CCA"/>
    <w:rsid w:val="006A6FE1"/>
    <w:rsid w:val="006A7973"/>
    <w:rsid w:val="006A7B2F"/>
    <w:rsid w:val="006A7CB6"/>
    <w:rsid w:val="006B00DE"/>
    <w:rsid w:val="006B0B64"/>
    <w:rsid w:val="006B10DC"/>
    <w:rsid w:val="006B138C"/>
    <w:rsid w:val="006B1C56"/>
    <w:rsid w:val="006B26C5"/>
    <w:rsid w:val="006B26E9"/>
    <w:rsid w:val="006B2B6D"/>
    <w:rsid w:val="006B2C85"/>
    <w:rsid w:val="006B2F77"/>
    <w:rsid w:val="006B317F"/>
    <w:rsid w:val="006B3387"/>
    <w:rsid w:val="006B3837"/>
    <w:rsid w:val="006B383F"/>
    <w:rsid w:val="006B3BDE"/>
    <w:rsid w:val="006B3E0A"/>
    <w:rsid w:val="006B3E8B"/>
    <w:rsid w:val="006B3ED4"/>
    <w:rsid w:val="006B3FE8"/>
    <w:rsid w:val="006B40CD"/>
    <w:rsid w:val="006B43E5"/>
    <w:rsid w:val="006B4543"/>
    <w:rsid w:val="006B4647"/>
    <w:rsid w:val="006B504D"/>
    <w:rsid w:val="006B7166"/>
    <w:rsid w:val="006B75DC"/>
    <w:rsid w:val="006B7606"/>
    <w:rsid w:val="006B76A2"/>
    <w:rsid w:val="006B76E4"/>
    <w:rsid w:val="006B7BA3"/>
    <w:rsid w:val="006B7D6D"/>
    <w:rsid w:val="006C0212"/>
    <w:rsid w:val="006C0352"/>
    <w:rsid w:val="006C0B06"/>
    <w:rsid w:val="006C128E"/>
    <w:rsid w:val="006C1947"/>
    <w:rsid w:val="006C1C66"/>
    <w:rsid w:val="006C1DBA"/>
    <w:rsid w:val="006C1E17"/>
    <w:rsid w:val="006C243D"/>
    <w:rsid w:val="006C2517"/>
    <w:rsid w:val="006C28B5"/>
    <w:rsid w:val="006C2998"/>
    <w:rsid w:val="006C310F"/>
    <w:rsid w:val="006C317B"/>
    <w:rsid w:val="006C4470"/>
    <w:rsid w:val="006C50E5"/>
    <w:rsid w:val="006C52AC"/>
    <w:rsid w:val="006C59F4"/>
    <w:rsid w:val="006C6639"/>
    <w:rsid w:val="006C67C7"/>
    <w:rsid w:val="006C703E"/>
    <w:rsid w:val="006C714E"/>
    <w:rsid w:val="006C726C"/>
    <w:rsid w:val="006C776A"/>
    <w:rsid w:val="006C7A49"/>
    <w:rsid w:val="006C7D19"/>
    <w:rsid w:val="006C7E95"/>
    <w:rsid w:val="006C7FFE"/>
    <w:rsid w:val="006D0037"/>
    <w:rsid w:val="006D0B54"/>
    <w:rsid w:val="006D1144"/>
    <w:rsid w:val="006D264C"/>
    <w:rsid w:val="006D268A"/>
    <w:rsid w:val="006D3511"/>
    <w:rsid w:val="006D368D"/>
    <w:rsid w:val="006D4253"/>
    <w:rsid w:val="006D4B86"/>
    <w:rsid w:val="006D4FBB"/>
    <w:rsid w:val="006D52CD"/>
    <w:rsid w:val="006D58BC"/>
    <w:rsid w:val="006D598D"/>
    <w:rsid w:val="006D5EC0"/>
    <w:rsid w:val="006D6786"/>
    <w:rsid w:val="006D6B5C"/>
    <w:rsid w:val="006D6BD1"/>
    <w:rsid w:val="006D6FC5"/>
    <w:rsid w:val="006D7578"/>
    <w:rsid w:val="006D76DE"/>
    <w:rsid w:val="006D7B4F"/>
    <w:rsid w:val="006D7C42"/>
    <w:rsid w:val="006D7FCD"/>
    <w:rsid w:val="006E02CB"/>
    <w:rsid w:val="006E0452"/>
    <w:rsid w:val="006E0842"/>
    <w:rsid w:val="006E0A2F"/>
    <w:rsid w:val="006E0F49"/>
    <w:rsid w:val="006E1497"/>
    <w:rsid w:val="006E15D4"/>
    <w:rsid w:val="006E162E"/>
    <w:rsid w:val="006E1851"/>
    <w:rsid w:val="006E1A1B"/>
    <w:rsid w:val="006E1AB8"/>
    <w:rsid w:val="006E1B77"/>
    <w:rsid w:val="006E1D4B"/>
    <w:rsid w:val="006E1DCD"/>
    <w:rsid w:val="006E1DDF"/>
    <w:rsid w:val="006E20F5"/>
    <w:rsid w:val="006E2BC4"/>
    <w:rsid w:val="006E2D9C"/>
    <w:rsid w:val="006E3AC1"/>
    <w:rsid w:val="006E3C8E"/>
    <w:rsid w:val="006E49C6"/>
    <w:rsid w:val="006E4A54"/>
    <w:rsid w:val="006E5244"/>
    <w:rsid w:val="006E5572"/>
    <w:rsid w:val="006E55DC"/>
    <w:rsid w:val="006E5943"/>
    <w:rsid w:val="006E617F"/>
    <w:rsid w:val="006E64AE"/>
    <w:rsid w:val="006E6513"/>
    <w:rsid w:val="006E68DC"/>
    <w:rsid w:val="006E6A79"/>
    <w:rsid w:val="006E6C76"/>
    <w:rsid w:val="006E6F4B"/>
    <w:rsid w:val="006E77B2"/>
    <w:rsid w:val="006E78CB"/>
    <w:rsid w:val="006F0511"/>
    <w:rsid w:val="006F08C9"/>
    <w:rsid w:val="006F0CB8"/>
    <w:rsid w:val="006F118A"/>
    <w:rsid w:val="006F158E"/>
    <w:rsid w:val="006F1BA2"/>
    <w:rsid w:val="006F261D"/>
    <w:rsid w:val="006F28CF"/>
    <w:rsid w:val="006F2B19"/>
    <w:rsid w:val="006F2D54"/>
    <w:rsid w:val="006F326A"/>
    <w:rsid w:val="006F332C"/>
    <w:rsid w:val="006F3543"/>
    <w:rsid w:val="006F35D9"/>
    <w:rsid w:val="006F37BE"/>
    <w:rsid w:val="006F3C6E"/>
    <w:rsid w:val="006F3E76"/>
    <w:rsid w:val="006F3FEF"/>
    <w:rsid w:val="006F4189"/>
    <w:rsid w:val="006F4A81"/>
    <w:rsid w:val="006F4AE2"/>
    <w:rsid w:val="006F53D4"/>
    <w:rsid w:val="006F5CC0"/>
    <w:rsid w:val="006F5D8C"/>
    <w:rsid w:val="006F6093"/>
    <w:rsid w:val="006F665D"/>
    <w:rsid w:val="006F6948"/>
    <w:rsid w:val="006F6C1F"/>
    <w:rsid w:val="006F6D84"/>
    <w:rsid w:val="006F746F"/>
    <w:rsid w:val="006F7B98"/>
    <w:rsid w:val="007002A2"/>
    <w:rsid w:val="00700934"/>
    <w:rsid w:val="00700954"/>
    <w:rsid w:val="00700B2E"/>
    <w:rsid w:val="0070140D"/>
    <w:rsid w:val="00701868"/>
    <w:rsid w:val="0070186A"/>
    <w:rsid w:val="00701EC0"/>
    <w:rsid w:val="007020F4"/>
    <w:rsid w:val="007021CC"/>
    <w:rsid w:val="007022B9"/>
    <w:rsid w:val="0070251D"/>
    <w:rsid w:val="007028A9"/>
    <w:rsid w:val="00702A62"/>
    <w:rsid w:val="00703296"/>
    <w:rsid w:val="00703AC0"/>
    <w:rsid w:val="00704C4C"/>
    <w:rsid w:val="00704C7D"/>
    <w:rsid w:val="00704D58"/>
    <w:rsid w:val="00704DC6"/>
    <w:rsid w:val="00705214"/>
    <w:rsid w:val="0070531D"/>
    <w:rsid w:val="00705474"/>
    <w:rsid w:val="0070641A"/>
    <w:rsid w:val="00706508"/>
    <w:rsid w:val="007065B0"/>
    <w:rsid w:val="00706F56"/>
    <w:rsid w:val="00706F8A"/>
    <w:rsid w:val="0071088C"/>
    <w:rsid w:val="00710988"/>
    <w:rsid w:val="007117A3"/>
    <w:rsid w:val="00711D71"/>
    <w:rsid w:val="00711E1B"/>
    <w:rsid w:val="00711FCF"/>
    <w:rsid w:val="0071276B"/>
    <w:rsid w:val="00712936"/>
    <w:rsid w:val="0071305B"/>
    <w:rsid w:val="007131DD"/>
    <w:rsid w:val="007135E4"/>
    <w:rsid w:val="007137FC"/>
    <w:rsid w:val="00713AB8"/>
    <w:rsid w:val="00713B8D"/>
    <w:rsid w:val="00713C6F"/>
    <w:rsid w:val="007141B1"/>
    <w:rsid w:val="00714A78"/>
    <w:rsid w:val="007159FE"/>
    <w:rsid w:val="00715AB8"/>
    <w:rsid w:val="0071609B"/>
    <w:rsid w:val="007167C0"/>
    <w:rsid w:val="00716D2A"/>
    <w:rsid w:val="00717741"/>
    <w:rsid w:val="00717C58"/>
    <w:rsid w:val="007200AD"/>
    <w:rsid w:val="007203F6"/>
    <w:rsid w:val="00720A83"/>
    <w:rsid w:val="00720C37"/>
    <w:rsid w:val="0072122E"/>
    <w:rsid w:val="00721905"/>
    <w:rsid w:val="00721D17"/>
    <w:rsid w:val="00721DDC"/>
    <w:rsid w:val="007220C4"/>
    <w:rsid w:val="00722126"/>
    <w:rsid w:val="007226EF"/>
    <w:rsid w:val="00722710"/>
    <w:rsid w:val="00722D10"/>
    <w:rsid w:val="00723274"/>
    <w:rsid w:val="00723551"/>
    <w:rsid w:val="007239FB"/>
    <w:rsid w:val="00724CA6"/>
    <w:rsid w:val="00724D9E"/>
    <w:rsid w:val="00725432"/>
    <w:rsid w:val="00726339"/>
    <w:rsid w:val="00726401"/>
    <w:rsid w:val="00726A44"/>
    <w:rsid w:val="00726D5C"/>
    <w:rsid w:val="0072756E"/>
    <w:rsid w:val="007278F1"/>
    <w:rsid w:val="007305A6"/>
    <w:rsid w:val="0073094A"/>
    <w:rsid w:val="00730EF3"/>
    <w:rsid w:val="00731679"/>
    <w:rsid w:val="00731C09"/>
    <w:rsid w:val="00731D2E"/>
    <w:rsid w:val="00731F38"/>
    <w:rsid w:val="00732210"/>
    <w:rsid w:val="00732954"/>
    <w:rsid w:val="00732ECA"/>
    <w:rsid w:val="00733396"/>
    <w:rsid w:val="00733A7F"/>
    <w:rsid w:val="00733F29"/>
    <w:rsid w:val="00734006"/>
    <w:rsid w:val="00734531"/>
    <w:rsid w:val="00734A7D"/>
    <w:rsid w:val="00734BA5"/>
    <w:rsid w:val="00734F89"/>
    <w:rsid w:val="00735675"/>
    <w:rsid w:val="0073591E"/>
    <w:rsid w:val="00735982"/>
    <w:rsid w:val="00735B01"/>
    <w:rsid w:val="00735B3D"/>
    <w:rsid w:val="00735F38"/>
    <w:rsid w:val="00735F5B"/>
    <w:rsid w:val="00736F93"/>
    <w:rsid w:val="00737013"/>
    <w:rsid w:val="00737CCC"/>
    <w:rsid w:val="00740A5E"/>
    <w:rsid w:val="00740B32"/>
    <w:rsid w:val="00740DD6"/>
    <w:rsid w:val="00740F99"/>
    <w:rsid w:val="00741C6E"/>
    <w:rsid w:val="00742558"/>
    <w:rsid w:val="0074379A"/>
    <w:rsid w:val="00743B01"/>
    <w:rsid w:val="00743C9F"/>
    <w:rsid w:val="00744BC2"/>
    <w:rsid w:val="00744C23"/>
    <w:rsid w:val="00744EBA"/>
    <w:rsid w:val="007453DA"/>
    <w:rsid w:val="00745551"/>
    <w:rsid w:val="00745704"/>
    <w:rsid w:val="0074587C"/>
    <w:rsid w:val="00745C48"/>
    <w:rsid w:val="00745FC4"/>
    <w:rsid w:val="00746A4B"/>
    <w:rsid w:val="00747102"/>
    <w:rsid w:val="007475B3"/>
    <w:rsid w:val="007476DF"/>
    <w:rsid w:val="00747753"/>
    <w:rsid w:val="00747B13"/>
    <w:rsid w:val="00747DA9"/>
    <w:rsid w:val="0075053F"/>
    <w:rsid w:val="007505FE"/>
    <w:rsid w:val="00750647"/>
    <w:rsid w:val="00750653"/>
    <w:rsid w:val="007506D8"/>
    <w:rsid w:val="00750AB8"/>
    <w:rsid w:val="0075166A"/>
    <w:rsid w:val="00751774"/>
    <w:rsid w:val="00751C79"/>
    <w:rsid w:val="00751FDF"/>
    <w:rsid w:val="00752222"/>
    <w:rsid w:val="0075258A"/>
    <w:rsid w:val="00753BCF"/>
    <w:rsid w:val="00753EDD"/>
    <w:rsid w:val="007544DE"/>
    <w:rsid w:val="0075557A"/>
    <w:rsid w:val="007556C3"/>
    <w:rsid w:val="00755883"/>
    <w:rsid w:val="00755A07"/>
    <w:rsid w:val="00755AC5"/>
    <w:rsid w:val="00755F40"/>
    <w:rsid w:val="007560CE"/>
    <w:rsid w:val="0075678A"/>
    <w:rsid w:val="007568D2"/>
    <w:rsid w:val="00757299"/>
    <w:rsid w:val="007578F9"/>
    <w:rsid w:val="00757D2E"/>
    <w:rsid w:val="00760D5F"/>
    <w:rsid w:val="0076142A"/>
    <w:rsid w:val="00761DB6"/>
    <w:rsid w:val="0076251E"/>
    <w:rsid w:val="00762B16"/>
    <w:rsid w:val="00762BC1"/>
    <w:rsid w:val="007634A9"/>
    <w:rsid w:val="00763971"/>
    <w:rsid w:val="00763B04"/>
    <w:rsid w:val="007643C6"/>
    <w:rsid w:val="00764489"/>
    <w:rsid w:val="00764530"/>
    <w:rsid w:val="0076496A"/>
    <w:rsid w:val="00764BDD"/>
    <w:rsid w:val="007658F3"/>
    <w:rsid w:val="00765AA8"/>
    <w:rsid w:val="00765AFE"/>
    <w:rsid w:val="00765B6D"/>
    <w:rsid w:val="007660DA"/>
    <w:rsid w:val="00766200"/>
    <w:rsid w:val="007665B5"/>
    <w:rsid w:val="007665D8"/>
    <w:rsid w:val="00766882"/>
    <w:rsid w:val="00766CC9"/>
    <w:rsid w:val="00767198"/>
    <w:rsid w:val="00767807"/>
    <w:rsid w:val="00767AFC"/>
    <w:rsid w:val="00767F93"/>
    <w:rsid w:val="00770049"/>
    <w:rsid w:val="00770103"/>
    <w:rsid w:val="00770865"/>
    <w:rsid w:val="007708E9"/>
    <w:rsid w:val="00770DB2"/>
    <w:rsid w:val="00771900"/>
    <w:rsid w:val="00771C80"/>
    <w:rsid w:val="00772173"/>
    <w:rsid w:val="007724CB"/>
    <w:rsid w:val="0077277B"/>
    <w:rsid w:val="00772B00"/>
    <w:rsid w:val="00773375"/>
    <w:rsid w:val="00773409"/>
    <w:rsid w:val="0077358C"/>
    <w:rsid w:val="0077387B"/>
    <w:rsid w:val="00773A2D"/>
    <w:rsid w:val="00773FB0"/>
    <w:rsid w:val="00774792"/>
    <w:rsid w:val="00774FC7"/>
    <w:rsid w:val="0077539B"/>
    <w:rsid w:val="007756F0"/>
    <w:rsid w:val="007758E0"/>
    <w:rsid w:val="00776091"/>
    <w:rsid w:val="00776A33"/>
    <w:rsid w:val="007774B2"/>
    <w:rsid w:val="00777717"/>
    <w:rsid w:val="0077774C"/>
    <w:rsid w:val="00780A4F"/>
    <w:rsid w:val="00780BC3"/>
    <w:rsid w:val="0078119B"/>
    <w:rsid w:val="00781DDB"/>
    <w:rsid w:val="00782147"/>
    <w:rsid w:val="0078258F"/>
    <w:rsid w:val="00782626"/>
    <w:rsid w:val="007829E3"/>
    <w:rsid w:val="00782CF8"/>
    <w:rsid w:val="00782E3E"/>
    <w:rsid w:val="007832C1"/>
    <w:rsid w:val="00783868"/>
    <w:rsid w:val="00783A24"/>
    <w:rsid w:val="00783CFD"/>
    <w:rsid w:val="00784030"/>
    <w:rsid w:val="007845C9"/>
    <w:rsid w:val="0078475E"/>
    <w:rsid w:val="0078487F"/>
    <w:rsid w:val="00784C14"/>
    <w:rsid w:val="00784D70"/>
    <w:rsid w:val="007855E3"/>
    <w:rsid w:val="00785DDE"/>
    <w:rsid w:val="00785E65"/>
    <w:rsid w:val="00786044"/>
    <w:rsid w:val="007860BF"/>
    <w:rsid w:val="00786442"/>
    <w:rsid w:val="00786759"/>
    <w:rsid w:val="00786C18"/>
    <w:rsid w:val="00786DA1"/>
    <w:rsid w:val="00786EC6"/>
    <w:rsid w:val="00786F15"/>
    <w:rsid w:val="00787625"/>
    <w:rsid w:val="0078790F"/>
    <w:rsid w:val="00787B9B"/>
    <w:rsid w:val="00790165"/>
    <w:rsid w:val="00790292"/>
    <w:rsid w:val="00790553"/>
    <w:rsid w:val="0079174B"/>
    <w:rsid w:val="0079194F"/>
    <w:rsid w:val="00791EFD"/>
    <w:rsid w:val="00792173"/>
    <w:rsid w:val="00792771"/>
    <w:rsid w:val="0079295E"/>
    <w:rsid w:val="0079354B"/>
    <w:rsid w:val="0079388D"/>
    <w:rsid w:val="00793B52"/>
    <w:rsid w:val="00793F5C"/>
    <w:rsid w:val="00794308"/>
    <w:rsid w:val="0079471E"/>
    <w:rsid w:val="00795407"/>
    <w:rsid w:val="007954CF"/>
    <w:rsid w:val="0079569E"/>
    <w:rsid w:val="00795996"/>
    <w:rsid w:val="00795C60"/>
    <w:rsid w:val="00795E0F"/>
    <w:rsid w:val="0079620A"/>
    <w:rsid w:val="007969A6"/>
    <w:rsid w:val="007971B5"/>
    <w:rsid w:val="00797239"/>
    <w:rsid w:val="007972B1"/>
    <w:rsid w:val="007977DC"/>
    <w:rsid w:val="00797CA9"/>
    <w:rsid w:val="007A059C"/>
    <w:rsid w:val="007A09CE"/>
    <w:rsid w:val="007A12DA"/>
    <w:rsid w:val="007A15DF"/>
    <w:rsid w:val="007A2941"/>
    <w:rsid w:val="007A29F6"/>
    <w:rsid w:val="007A318A"/>
    <w:rsid w:val="007A3929"/>
    <w:rsid w:val="007A43A0"/>
    <w:rsid w:val="007A45A5"/>
    <w:rsid w:val="007A45EB"/>
    <w:rsid w:val="007A4634"/>
    <w:rsid w:val="007A490E"/>
    <w:rsid w:val="007A4A5E"/>
    <w:rsid w:val="007A4B06"/>
    <w:rsid w:val="007A500C"/>
    <w:rsid w:val="007A530A"/>
    <w:rsid w:val="007A53FB"/>
    <w:rsid w:val="007A5539"/>
    <w:rsid w:val="007A575B"/>
    <w:rsid w:val="007A5AB2"/>
    <w:rsid w:val="007A5C77"/>
    <w:rsid w:val="007A5EC3"/>
    <w:rsid w:val="007A6065"/>
    <w:rsid w:val="007A60B0"/>
    <w:rsid w:val="007A63A3"/>
    <w:rsid w:val="007A6C2E"/>
    <w:rsid w:val="007A6C86"/>
    <w:rsid w:val="007A74F7"/>
    <w:rsid w:val="007A79FA"/>
    <w:rsid w:val="007A7EAA"/>
    <w:rsid w:val="007A7EAE"/>
    <w:rsid w:val="007B06B6"/>
    <w:rsid w:val="007B070F"/>
    <w:rsid w:val="007B0D4A"/>
    <w:rsid w:val="007B0FD8"/>
    <w:rsid w:val="007B14DD"/>
    <w:rsid w:val="007B16AD"/>
    <w:rsid w:val="007B177A"/>
    <w:rsid w:val="007B17D7"/>
    <w:rsid w:val="007B2174"/>
    <w:rsid w:val="007B276E"/>
    <w:rsid w:val="007B2C94"/>
    <w:rsid w:val="007B2EAB"/>
    <w:rsid w:val="007B3354"/>
    <w:rsid w:val="007B38C0"/>
    <w:rsid w:val="007B390B"/>
    <w:rsid w:val="007B3E02"/>
    <w:rsid w:val="007B4326"/>
    <w:rsid w:val="007B4891"/>
    <w:rsid w:val="007B510A"/>
    <w:rsid w:val="007B518B"/>
    <w:rsid w:val="007B5245"/>
    <w:rsid w:val="007B5A86"/>
    <w:rsid w:val="007B5DDC"/>
    <w:rsid w:val="007B5E1C"/>
    <w:rsid w:val="007B6066"/>
    <w:rsid w:val="007B60A1"/>
    <w:rsid w:val="007B6C63"/>
    <w:rsid w:val="007B71E0"/>
    <w:rsid w:val="007C04A9"/>
    <w:rsid w:val="007C07FF"/>
    <w:rsid w:val="007C1FE2"/>
    <w:rsid w:val="007C29AF"/>
    <w:rsid w:val="007C2D4E"/>
    <w:rsid w:val="007C34EE"/>
    <w:rsid w:val="007C35BD"/>
    <w:rsid w:val="007C367F"/>
    <w:rsid w:val="007C3955"/>
    <w:rsid w:val="007C3CA2"/>
    <w:rsid w:val="007C3D39"/>
    <w:rsid w:val="007C3D66"/>
    <w:rsid w:val="007C412A"/>
    <w:rsid w:val="007C43D7"/>
    <w:rsid w:val="007C44F1"/>
    <w:rsid w:val="007C45D2"/>
    <w:rsid w:val="007C4752"/>
    <w:rsid w:val="007C52F0"/>
    <w:rsid w:val="007C5BF3"/>
    <w:rsid w:val="007C5D71"/>
    <w:rsid w:val="007C618B"/>
    <w:rsid w:val="007C61CD"/>
    <w:rsid w:val="007C6ACE"/>
    <w:rsid w:val="007C6C1D"/>
    <w:rsid w:val="007C6D68"/>
    <w:rsid w:val="007C713A"/>
    <w:rsid w:val="007C7760"/>
    <w:rsid w:val="007D000E"/>
    <w:rsid w:val="007D01E2"/>
    <w:rsid w:val="007D02AF"/>
    <w:rsid w:val="007D0836"/>
    <w:rsid w:val="007D0A77"/>
    <w:rsid w:val="007D0A8B"/>
    <w:rsid w:val="007D0AB3"/>
    <w:rsid w:val="007D0BF7"/>
    <w:rsid w:val="007D0F43"/>
    <w:rsid w:val="007D1155"/>
    <w:rsid w:val="007D1239"/>
    <w:rsid w:val="007D166F"/>
    <w:rsid w:val="007D19C9"/>
    <w:rsid w:val="007D1E3B"/>
    <w:rsid w:val="007D22FB"/>
    <w:rsid w:val="007D36E9"/>
    <w:rsid w:val="007D3A0F"/>
    <w:rsid w:val="007D3F28"/>
    <w:rsid w:val="007D3F31"/>
    <w:rsid w:val="007D45B1"/>
    <w:rsid w:val="007D4767"/>
    <w:rsid w:val="007D5075"/>
    <w:rsid w:val="007D52E3"/>
    <w:rsid w:val="007D541B"/>
    <w:rsid w:val="007D55D9"/>
    <w:rsid w:val="007D57EF"/>
    <w:rsid w:val="007D59E5"/>
    <w:rsid w:val="007D5D21"/>
    <w:rsid w:val="007D5FAF"/>
    <w:rsid w:val="007D633B"/>
    <w:rsid w:val="007D6472"/>
    <w:rsid w:val="007D64B2"/>
    <w:rsid w:val="007D64B8"/>
    <w:rsid w:val="007D68FA"/>
    <w:rsid w:val="007D732B"/>
    <w:rsid w:val="007D75DA"/>
    <w:rsid w:val="007D7784"/>
    <w:rsid w:val="007D792F"/>
    <w:rsid w:val="007E0164"/>
    <w:rsid w:val="007E0D62"/>
    <w:rsid w:val="007E17D1"/>
    <w:rsid w:val="007E1B57"/>
    <w:rsid w:val="007E344F"/>
    <w:rsid w:val="007E3749"/>
    <w:rsid w:val="007E38B4"/>
    <w:rsid w:val="007E3A48"/>
    <w:rsid w:val="007E3AAF"/>
    <w:rsid w:val="007E3DA1"/>
    <w:rsid w:val="007E43EB"/>
    <w:rsid w:val="007E48AA"/>
    <w:rsid w:val="007E4E95"/>
    <w:rsid w:val="007E57E1"/>
    <w:rsid w:val="007E5E24"/>
    <w:rsid w:val="007E5F25"/>
    <w:rsid w:val="007E5FCB"/>
    <w:rsid w:val="007E6383"/>
    <w:rsid w:val="007E6A98"/>
    <w:rsid w:val="007E703D"/>
    <w:rsid w:val="007E723A"/>
    <w:rsid w:val="007E763D"/>
    <w:rsid w:val="007E767D"/>
    <w:rsid w:val="007E7739"/>
    <w:rsid w:val="007E77F1"/>
    <w:rsid w:val="007E7AA9"/>
    <w:rsid w:val="007F0069"/>
    <w:rsid w:val="007F04E5"/>
    <w:rsid w:val="007F0574"/>
    <w:rsid w:val="007F0B0A"/>
    <w:rsid w:val="007F1101"/>
    <w:rsid w:val="007F25C5"/>
    <w:rsid w:val="007F2902"/>
    <w:rsid w:val="007F306F"/>
    <w:rsid w:val="007F3360"/>
    <w:rsid w:val="007F35D2"/>
    <w:rsid w:val="007F3788"/>
    <w:rsid w:val="007F38B8"/>
    <w:rsid w:val="007F3E61"/>
    <w:rsid w:val="007F40D6"/>
    <w:rsid w:val="007F4152"/>
    <w:rsid w:val="007F442C"/>
    <w:rsid w:val="007F467E"/>
    <w:rsid w:val="007F46F5"/>
    <w:rsid w:val="007F4995"/>
    <w:rsid w:val="007F5522"/>
    <w:rsid w:val="007F5629"/>
    <w:rsid w:val="007F5764"/>
    <w:rsid w:val="007F5EC8"/>
    <w:rsid w:val="007F633E"/>
    <w:rsid w:val="007F6697"/>
    <w:rsid w:val="007F66B2"/>
    <w:rsid w:val="007F66DA"/>
    <w:rsid w:val="007F67FF"/>
    <w:rsid w:val="007F6CF9"/>
    <w:rsid w:val="007F702A"/>
    <w:rsid w:val="007F74A6"/>
    <w:rsid w:val="007F7C1A"/>
    <w:rsid w:val="007F7D5C"/>
    <w:rsid w:val="00800606"/>
    <w:rsid w:val="0080068E"/>
    <w:rsid w:val="00800721"/>
    <w:rsid w:val="00800A66"/>
    <w:rsid w:val="00800B70"/>
    <w:rsid w:val="00800C41"/>
    <w:rsid w:val="00800E43"/>
    <w:rsid w:val="0080230B"/>
    <w:rsid w:val="00802591"/>
    <w:rsid w:val="008026B3"/>
    <w:rsid w:val="008026F8"/>
    <w:rsid w:val="00802AF2"/>
    <w:rsid w:val="00803159"/>
    <w:rsid w:val="00803CF2"/>
    <w:rsid w:val="00803F72"/>
    <w:rsid w:val="008046FA"/>
    <w:rsid w:val="00804B2F"/>
    <w:rsid w:val="00804E6D"/>
    <w:rsid w:val="008051C4"/>
    <w:rsid w:val="0080555B"/>
    <w:rsid w:val="0080571B"/>
    <w:rsid w:val="00805749"/>
    <w:rsid w:val="00805DD8"/>
    <w:rsid w:val="00805FD5"/>
    <w:rsid w:val="0080612C"/>
    <w:rsid w:val="0080635F"/>
    <w:rsid w:val="008065A4"/>
    <w:rsid w:val="00806A63"/>
    <w:rsid w:val="0080717D"/>
    <w:rsid w:val="00807217"/>
    <w:rsid w:val="00807499"/>
    <w:rsid w:val="008079D3"/>
    <w:rsid w:val="0081003C"/>
    <w:rsid w:val="0081040D"/>
    <w:rsid w:val="00810B97"/>
    <w:rsid w:val="00810C64"/>
    <w:rsid w:val="00811B42"/>
    <w:rsid w:val="00812328"/>
    <w:rsid w:val="0081246F"/>
    <w:rsid w:val="00812D06"/>
    <w:rsid w:val="00812D0D"/>
    <w:rsid w:val="00812FD9"/>
    <w:rsid w:val="008136DF"/>
    <w:rsid w:val="00813725"/>
    <w:rsid w:val="00813E53"/>
    <w:rsid w:val="00813FCB"/>
    <w:rsid w:val="0081445A"/>
    <w:rsid w:val="008145AD"/>
    <w:rsid w:val="008152CC"/>
    <w:rsid w:val="008154F7"/>
    <w:rsid w:val="008163F0"/>
    <w:rsid w:val="00816754"/>
    <w:rsid w:val="008168B1"/>
    <w:rsid w:val="00816ACC"/>
    <w:rsid w:val="00816C3D"/>
    <w:rsid w:val="00817FB2"/>
    <w:rsid w:val="00820165"/>
    <w:rsid w:val="0082037D"/>
    <w:rsid w:val="00820500"/>
    <w:rsid w:val="00821B5E"/>
    <w:rsid w:val="00821B7B"/>
    <w:rsid w:val="00822022"/>
    <w:rsid w:val="00822318"/>
    <w:rsid w:val="0082260C"/>
    <w:rsid w:val="008229B9"/>
    <w:rsid w:val="0082327A"/>
    <w:rsid w:val="008239B4"/>
    <w:rsid w:val="0082454F"/>
    <w:rsid w:val="00824602"/>
    <w:rsid w:val="00824635"/>
    <w:rsid w:val="00824B99"/>
    <w:rsid w:val="00824E11"/>
    <w:rsid w:val="00825364"/>
    <w:rsid w:val="00825CAE"/>
    <w:rsid w:val="008266C5"/>
    <w:rsid w:val="008268FE"/>
    <w:rsid w:val="00826A32"/>
    <w:rsid w:val="00826FFD"/>
    <w:rsid w:val="00827BD7"/>
    <w:rsid w:val="00827E98"/>
    <w:rsid w:val="00830314"/>
    <w:rsid w:val="008307B2"/>
    <w:rsid w:val="00830C21"/>
    <w:rsid w:val="00830D6B"/>
    <w:rsid w:val="00830DA4"/>
    <w:rsid w:val="0083131C"/>
    <w:rsid w:val="00831472"/>
    <w:rsid w:val="00831815"/>
    <w:rsid w:val="00831C8E"/>
    <w:rsid w:val="00831CC3"/>
    <w:rsid w:val="008320BD"/>
    <w:rsid w:val="0083223E"/>
    <w:rsid w:val="008322A4"/>
    <w:rsid w:val="008324D1"/>
    <w:rsid w:val="008327D9"/>
    <w:rsid w:val="00832EDB"/>
    <w:rsid w:val="008330C8"/>
    <w:rsid w:val="00833773"/>
    <w:rsid w:val="0083411E"/>
    <w:rsid w:val="008346FB"/>
    <w:rsid w:val="0083492D"/>
    <w:rsid w:val="00834A6B"/>
    <w:rsid w:val="00834D8B"/>
    <w:rsid w:val="008352E5"/>
    <w:rsid w:val="00835998"/>
    <w:rsid w:val="008360D8"/>
    <w:rsid w:val="008369EF"/>
    <w:rsid w:val="00836BAD"/>
    <w:rsid w:val="008370E5"/>
    <w:rsid w:val="00840424"/>
    <w:rsid w:val="00840A25"/>
    <w:rsid w:val="00840BD6"/>
    <w:rsid w:val="00840C73"/>
    <w:rsid w:val="00841559"/>
    <w:rsid w:val="00841DC6"/>
    <w:rsid w:val="00842576"/>
    <w:rsid w:val="00842993"/>
    <w:rsid w:val="00842A70"/>
    <w:rsid w:val="00842CC4"/>
    <w:rsid w:val="00843B57"/>
    <w:rsid w:val="0084400A"/>
    <w:rsid w:val="00844DC5"/>
    <w:rsid w:val="008452BB"/>
    <w:rsid w:val="00845CCA"/>
    <w:rsid w:val="00845E03"/>
    <w:rsid w:val="00845FD2"/>
    <w:rsid w:val="0084632D"/>
    <w:rsid w:val="00846658"/>
    <w:rsid w:val="00846A23"/>
    <w:rsid w:val="008476C8"/>
    <w:rsid w:val="00850265"/>
    <w:rsid w:val="00850A69"/>
    <w:rsid w:val="00850AB1"/>
    <w:rsid w:val="00851006"/>
    <w:rsid w:val="0085166C"/>
    <w:rsid w:val="008516C1"/>
    <w:rsid w:val="008522FC"/>
    <w:rsid w:val="00852962"/>
    <w:rsid w:val="00852B07"/>
    <w:rsid w:val="00852C62"/>
    <w:rsid w:val="00852EA0"/>
    <w:rsid w:val="00853097"/>
    <w:rsid w:val="0085326B"/>
    <w:rsid w:val="00853345"/>
    <w:rsid w:val="00853403"/>
    <w:rsid w:val="0085393E"/>
    <w:rsid w:val="00853A59"/>
    <w:rsid w:val="00854085"/>
    <w:rsid w:val="0085413B"/>
    <w:rsid w:val="00854CD8"/>
    <w:rsid w:val="0085520D"/>
    <w:rsid w:val="00855420"/>
    <w:rsid w:val="00855603"/>
    <w:rsid w:val="00855E0B"/>
    <w:rsid w:val="0085610E"/>
    <w:rsid w:val="008564B3"/>
    <w:rsid w:val="008566B7"/>
    <w:rsid w:val="00856DCA"/>
    <w:rsid w:val="008571B9"/>
    <w:rsid w:val="00857506"/>
    <w:rsid w:val="00857620"/>
    <w:rsid w:val="00857E8C"/>
    <w:rsid w:val="00857EEB"/>
    <w:rsid w:val="0086062B"/>
    <w:rsid w:val="00860654"/>
    <w:rsid w:val="00860993"/>
    <w:rsid w:val="00860B42"/>
    <w:rsid w:val="00860F70"/>
    <w:rsid w:val="00861CAE"/>
    <w:rsid w:val="00861E6E"/>
    <w:rsid w:val="00861EC5"/>
    <w:rsid w:val="00862614"/>
    <w:rsid w:val="00862CFB"/>
    <w:rsid w:val="00863066"/>
    <w:rsid w:val="00863291"/>
    <w:rsid w:val="0086357C"/>
    <w:rsid w:val="00863A00"/>
    <w:rsid w:val="0086443A"/>
    <w:rsid w:val="0086452C"/>
    <w:rsid w:val="008647D8"/>
    <w:rsid w:val="00864DCA"/>
    <w:rsid w:val="00864EE1"/>
    <w:rsid w:val="008654AF"/>
    <w:rsid w:val="00865A9D"/>
    <w:rsid w:val="00865B27"/>
    <w:rsid w:val="00865BFF"/>
    <w:rsid w:val="00865D91"/>
    <w:rsid w:val="00865E93"/>
    <w:rsid w:val="00865F35"/>
    <w:rsid w:val="008661CD"/>
    <w:rsid w:val="008662D2"/>
    <w:rsid w:val="00866D34"/>
    <w:rsid w:val="00866F5E"/>
    <w:rsid w:val="008670A8"/>
    <w:rsid w:val="00867207"/>
    <w:rsid w:val="008673CB"/>
    <w:rsid w:val="008677BE"/>
    <w:rsid w:val="00867C11"/>
    <w:rsid w:val="00867CCE"/>
    <w:rsid w:val="00867EB1"/>
    <w:rsid w:val="00867FA0"/>
    <w:rsid w:val="008700AA"/>
    <w:rsid w:val="00870277"/>
    <w:rsid w:val="008704F9"/>
    <w:rsid w:val="00870868"/>
    <w:rsid w:val="008708A7"/>
    <w:rsid w:val="00870958"/>
    <w:rsid w:val="00870CC6"/>
    <w:rsid w:val="00870DEC"/>
    <w:rsid w:val="008710D7"/>
    <w:rsid w:val="008712FC"/>
    <w:rsid w:val="00871937"/>
    <w:rsid w:val="00871AA5"/>
    <w:rsid w:val="00871AEB"/>
    <w:rsid w:val="00871D33"/>
    <w:rsid w:val="00871E8E"/>
    <w:rsid w:val="00872055"/>
    <w:rsid w:val="00872530"/>
    <w:rsid w:val="0087261A"/>
    <w:rsid w:val="008727F2"/>
    <w:rsid w:val="00872DE7"/>
    <w:rsid w:val="00873050"/>
    <w:rsid w:val="008730C4"/>
    <w:rsid w:val="00873451"/>
    <w:rsid w:val="00873DA0"/>
    <w:rsid w:val="00874251"/>
    <w:rsid w:val="00874496"/>
    <w:rsid w:val="008745F9"/>
    <w:rsid w:val="00875140"/>
    <w:rsid w:val="008758E4"/>
    <w:rsid w:val="00876139"/>
    <w:rsid w:val="0087674A"/>
    <w:rsid w:val="00876B4C"/>
    <w:rsid w:val="00876D53"/>
    <w:rsid w:val="00876E89"/>
    <w:rsid w:val="00877167"/>
    <w:rsid w:val="00877CFF"/>
    <w:rsid w:val="00877E75"/>
    <w:rsid w:val="0088003A"/>
    <w:rsid w:val="00880100"/>
    <w:rsid w:val="0088020A"/>
    <w:rsid w:val="00880680"/>
    <w:rsid w:val="008806DC"/>
    <w:rsid w:val="008806F7"/>
    <w:rsid w:val="008808B9"/>
    <w:rsid w:val="00880F13"/>
    <w:rsid w:val="0088136D"/>
    <w:rsid w:val="008815F8"/>
    <w:rsid w:val="00881BF1"/>
    <w:rsid w:val="00881CDE"/>
    <w:rsid w:val="008825A7"/>
    <w:rsid w:val="00882647"/>
    <w:rsid w:val="00882C0B"/>
    <w:rsid w:val="00882C3D"/>
    <w:rsid w:val="00882C8E"/>
    <w:rsid w:val="008833F8"/>
    <w:rsid w:val="00884052"/>
    <w:rsid w:val="008841E1"/>
    <w:rsid w:val="00884397"/>
    <w:rsid w:val="00885B5F"/>
    <w:rsid w:val="00885CE4"/>
    <w:rsid w:val="00885F71"/>
    <w:rsid w:val="00886117"/>
    <w:rsid w:val="008864C8"/>
    <w:rsid w:val="00886B84"/>
    <w:rsid w:val="00886C8F"/>
    <w:rsid w:val="00886E6F"/>
    <w:rsid w:val="008871A7"/>
    <w:rsid w:val="008871BE"/>
    <w:rsid w:val="00887328"/>
    <w:rsid w:val="00887895"/>
    <w:rsid w:val="00887B5F"/>
    <w:rsid w:val="00890DCA"/>
    <w:rsid w:val="00891252"/>
    <w:rsid w:val="0089193A"/>
    <w:rsid w:val="00892117"/>
    <w:rsid w:val="008921D7"/>
    <w:rsid w:val="00892A11"/>
    <w:rsid w:val="00892B56"/>
    <w:rsid w:val="00892FE1"/>
    <w:rsid w:val="00893150"/>
    <w:rsid w:val="00893328"/>
    <w:rsid w:val="00893490"/>
    <w:rsid w:val="00893929"/>
    <w:rsid w:val="00893BAD"/>
    <w:rsid w:val="00894637"/>
    <w:rsid w:val="00894BC0"/>
    <w:rsid w:val="0089500B"/>
    <w:rsid w:val="00895ED6"/>
    <w:rsid w:val="008960B2"/>
    <w:rsid w:val="0089687C"/>
    <w:rsid w:val="00896F9A"/>
    <w:rsid w:val="008973DA"/>
    <w:rsid w:val="00897933"/>
    <w:rsid w:val="008979C1"/>
    <w:rsid w:val="008A0693"/>
    <w:rsid w:val="008A0792"/>
    <w:rsid w:val="008A080A"/>
    <w:rsid w:val="008A089A"/>
    <w:rsid w:val="008A0BC2"/>
    <w:rsid w:val="008A1F1F"/>
    <w:rsid w:val="008A29AB"/>
    <w:rsid w:val="008A2B50"/>
    <w:rsid w:val="008A3868"/>
    <w:rsid w:val="008A3C9D"/>
    <w:rsid w:val="008A4379"/>
    <w:rsid w:val="008A470D"/>
    <w:rsid w:val="008A47E8"/>
    <w:rsid w:val="008A48B5"/>
    <w:rsid w:val="008A4CE3"/>
    <w:rsid w:val="008A536E"/>
    <w:rsid w:val="008A5420"/>
    <w:rsid w:val="008A56E4"/>
    <w:rsid w:val="008A58CD"/>
    <w:rsid w:val="008A5D92"/>
    <w:rsid w:val="008A682E"/>
    <w:rsid w:val="008A6DA6"/>
    <w:rsid w:val="008A7337"/>
    <w:rsid w:val="008B03C7"/>
    <w:rsid w:val="008B147C"/>
    <w:rsid w:val="008B1643"/>
    <w:rsid w:val="008B1ADA"/>
    <w:rsid w:val="008B219A"/>
    <w:rsid w:val="008B2330"/>
    <w:rsid w:val="008B25EB"/>
    <w:rsid w:val="008B2857"/>
    <w:rsid w:val="008B2961"/>
    <w:rsid w:val="008B2C5C"/>
    <w:rsid w:val="008B2CEF"/>
    <w:rsid w:val="008B2D49"/>
    <w:rsid w:val="008B309E"/>
    <w:rsid w:val="008B311D"/>
    <w:rsid w:val="008B371F"/>
    <w:rsid w:val="008B39ED"/>
    <w:rsid w:val="008B3C9D"/>
    <w:rsid w:val="008B4C12"/>
    <w:rsid w:val="008B4C4E"/>
    <w:rsid w:val="008B52E3"/>
    <w:rsid w:val="008B6208"/>
    <w:rsid w:val="008B679E"/>
    <w:rsid w:val="008B6AB2"/>
    <w:rsid w:val="008B6D4E"/>
    <w:rsid w:val="008B73EC"/>
    <w:rsid w:val="008B7ECB"/>
    <w:rsid w:val="008C1691"/>
    <w:rsid w:val="008C16DE"/>
    <w:rsid w:val="008C18B4"/>
    <w:rsid w:val="008C2892"/>
    <w:rsid w:val="008C2C13"/>
    <w:rsid w:val="008C314A"/>
    <w:rsid w:val="008C3177"/>
    <w:rsid w:val="008C31CD"/>
    <w:rsid w:val="008C353D"/>
    <w:rsid w:val="008C4143"/>
    <w:rsid w:val="008C4314"/>
    <w:rsid w:val="008C49EB"/>
    <w:rsid w:val="008C4A1A"/>
    <w:rsid w:val="008C4B9B"/>
    <w:rsid w:val="008C4FD3"/>
    <w:rsid w:val="008C54D3"/>
    <w:rsid w:val="008C5972"/>
    <w:rsid w:val="008C5A6C"/>
    <w:rsid w:val="008C5C0E"/>
    <w:rsid w:val="008C5C98"/>
    <w:rsid w:val="008C5EB8"/>
    <w:rsid w:val="008C5F76"/>
    <w:rsid w:val="008C643D"/>
    <w:rsid w:val="008C684B"/>
    <w:rsid w:val="008C6868"/>
    <w:rsid w:val="008C708C"/>
    <w:rsid w:val="008C78D2"/>
    <w:rsid w:val="008C7B95"/>
    <w:rsid w:val="008C7DA3"/>
    <w:rsid w:val="008D0B52"/>
    <w:rsid w:val="008D0D05"/>
    <w:rsid w:val="008D0D82"/>
    <w:rsid w:val="008D0D98"/>
    <w:rsid w:val="008D1856"/>
    <w:rsid w:val="008D1EB2"/>
    <w:rsid w:val="008D1EFB"/>
    <w:rsid w:val="008D1F4A"/>
    <w:rsid w:val="008D1FBF"/>
    <w:rsid w:val="008D23C6"/>
    <w:rsid w:val="008D243A"/>
    <w:rsid w:val="008D2B2F"/>
    <w:rsid w:val="008D2B47"/>
    <w:rsid w:val="008D2D6C"/>
    <w:rsid w:val="008D3296"/>
    <w:rsid w:val="008D358D"/>
    <w:rsid w:val="008D3D49"/>
    <w:rsid w:val="008D463D"/>
    <w:rsid w:val="008D4ABD"/>
    <w:rsid w:val="008D538E"/>
    <w:rsid w:val="008D5625"/>
    <w:rsid w:val="008D562B"/>
    <w:rsid w:val="008D5807"/>
    <w:rsid w:val="008D5DEC"/>
    <w:rsid w:val="008D6A5A"/>
    <w:rsid w:val="008D6FB1"/>
    <w:rsid w:val="008D717F"/>
    <w:rsid w:val="008D7757"/>
    <w:rsid w:val="008D7787"/>
    <w:rsid w:val="008E0A20"/>
    <w:rsid w:val="008E0C9E"/>
    <w:rsid w:val="008E1001"/>
    <w:rsid w:val="008E2016"/>
    <w:rsid w:val="008E20B3"/>
    <w:rsid w:val="008E2502"/>
    <w:rsid w:val="008E261B"/>
    <w:rsid w:val="008E3F2B"/>
    <w:rsid w:val="008E4288"/>
    <w:rsid w:val="008E437B"/>
    <w:rsid w:val="008E44E3"/>
    <w:rsid w:val="008E45A3"/>
    <w:rsid w:val="008E45F3"/>
    <w:rsid w:val="008E489E"/>
    <w:rsid w:val="008E4D7E"/>
    <w:rsid w:val="008E522F"/>
    <w:rsid w:val="008E5556"/>
    <w:rsid w:val="008E5695"/>
    <w:rsid w:val="008E621D"/>
    <w:rsid w:val="008E6EF5"/>
    <w:rsid w:val="008E77C0"/>
    <w:rsid w:val="008E7932"/>
    <w:rsid w:val="008E7DAF"/>
    <w:rsid w:val="008E7E51"/>
    <w:rsid w:val="008E7E70"/>
    <w:rsid w:val="008F073A"/>
    <w:rsid w:val="008F15EC"/>
    <w:rsid w:val="008F18D0"/>
    <w:rsid w:val="008F1C35"/>
    <w:rsid w:val="008F1EB8"/>
    <w:rsid w:val="008F1F52"/>
    <w:rsid w:val="008F2271"/>
    <w:rsid w:val="008F24F9"/>
    <w:rsid w:val="008F2904"/>
    <w:rsid w:val="008F29AB"/>
    <w:rsid w:val="008F362F"/>
    <w:rsid w:val="008F374F"/>
    <w:rsid w:val="008F46B7"/>
    <w:rsid w:val="008F48BC"/>
    <w:rsid w:val="008F4B14"/>
    <w:rsid w:val="008F4B5C"/>
    <w:rsid w:val="008F52E9"/>
    <w:rsid w:val="008F57FD"/>
    <w:rsid w:val="008F5C73"/>
    <w:rsid w:val="008F5E34"/>
    <w:rsid w:val="008F6321"/>
    <w:rsid w:val="008F6491"/>
    <w:rsid w:val="008F659D"/>
    <w:rsid w:val="008F69B3"/>
    <w:rsid w:val="008F6F54"/>
    <w:rsid w:val="008F7431"/>
    <w:rsid w:val="008F797E"/>
    <w:rsid w:val="008F7A96"/>
    <w:rsid w:val="008F7C3E"/>
    <w:rsid w:val="008F7DD8"/>
    <w:rsid w:val="009000F4"/>
    <w:rsid w:val="009002C0"/>
    <w:rsid w:val="00900395"/>
    <w:rsid w:val="009003DC"/>
    <w:rsid w:val="00900877"/>
    <w:rsid w:val="00900AF0"/>
    <w:rsid w:val="00901024"/>
    <w:rsid w:val="00901720"/>
    <w:rsid w:val="00901BAF"/>
    <w:rsid w:val="00901D60"/>
    <w:rsid w:val="00902A3A"/>
    <w:rsid w:val="00902B18"/>
    <w:rsid w:val="00902E83"/>
    <w:rsid w:val="00902F34"/>
    <w:rsid w:val="009031CB"/>
    <w:rsid w:val="009036A4"/>
    <w:rsid w:val="00903CF3"/>
    <w:rsid w:val="009042A4"/>
    <w:rsid w:val="00904789"/>
    <w:rsid w:val="009058B7"/>
    <w:rsid w:val="00905D76"/>
    <w:rsid w:val="00905DDC"/>
    <w:rsid w:val="0090630D"/>
    <w:rsid w:val="00906534"/>
    <w:rsid w:val="00906ABB"/>
    <w:rsid w:val="00906B37"/>
    <w:rsid w:val="00906D49"/>
    <w:rsid w:val="00907089"/>
    <w:rsid w:val="00907160"/>
    <w:rsid w:val="009071A9"/>
    <w:rsid w:val="0090743D"/>
    <w:rsid w:val="00907477"/>
    <w:rsid w:val="00907D7E"/>
    <w:rsid w:val="00907EB7"/>
    <w:rsid w:val="00910FAB"/>
    <w:rsid w:val="0091134B"/>
    <w:rsid w:val="00911394"/>
    <w:rsid w:val="00911C42"/>
    <w:rsid w:val="009120EE"/>
    <w:rsid w:val="00912C3E"/>
    <w:rsid w:val="00913842"/>
    <w:rsid w:val="00914126"/>
    <w:rsid w:val="00914F96"/>
    <w:rsid w:val="009158B6"/>
    <w:rsid w:val="00915E6D"/>
    <w:rsid w:val="00915EF1"/>
    <w:rsid w:val="00916368"/>
    <w:rsid w:val="009164F3"/>
    <w:rsid w:val="0091654D"/>
    <w:rsid w:val="0091658E"/>
    <w:rsid w:val="0091691F"/>
    <w:rsid w:val="00916E30"/>
    <w:rsid w:val="00917159"/>
    <w:rsid w:val="009171EE"/>
    <w:rsid w:val="009171F2"/>
    <w:rsid w:val="009174FE"/>
    <w:rsid w:val="0091774D"/>
    <w:rsid w:val="00917A63"/>
    <w:rsid w:val="00917C4C"/>
    <w:rsid w:val="009202E2"/>
    <w:rsid w:val="00920576"/>
    <w:rsid w:val="00920711"/>
    <w:rsid w:val="0092090A"/>
    <w:rsid w:val="0092123C"/>
    <w:rsid w:val="00921515"/>
    <w:rsid w:val="00921650"/>
    <w:rsid w:val="009216F0"/>
    <w:rsid w:val="00921986"/>
    <w:rsid w:val="00921A7F"/>
    <w:rsid w:val="009220EE"/>
    <w:rsid w:val="009222E4"/>
    <w:rsid w:val="00922644"/>
    <w:rsid w:val="00922ADC"/>
    <w:rsid w:val="00922DB3"/>
    <w:rsid w:val="009230C7"/>
    <w:rsid w:val="00923102"/>
    <w:rsid w:val="00923312"/>
    <w:rsid w:val="0092331F"/>
    <w:rsid w:val="009235A3"/>
    <w:rsid w:val="00923C71"/>
    <w:rsid w:val="00923F86"/>
    <w:rsid w:val="0092461F"/>
    <w:rsid w:val="00924664"/>
    <w:rsid w:val="0092495B"/>
    <w:rsid w:val="00925244"/>
    <w:rsid w:val="009258F0"/>
    <w:rsid w:val="00925904"/>
    <w:rsid w:val="00926241"/>
    <w:rsid w:val="0092626E"/>
    <w:rsid w:val="00926A7E"/>
    <w:rsid w:val="00926D06"/>
    <w:rsid w:val="00926E13"/>
    <w:rsid w:val="009273C8"/>
    <w:rsid w:val="0092758D"/>
    <w:rsid w:val="00927B03"/>
    <w:rsid w:val="0093009C"/>
    <w:rsid w:val="0093012D"/>
    <w:rsid w:val="009302DA"/>
    <w:rsid w:val="00930331"/>
    <w:rsid w:val="00930E30"/>
    <w:rsid w:val="00931413"/>
    <w:rsid w:val="009318E5"/>
    <w:rsid w:val="009322CF"/>
    <w:rsid w:val="009327B3"/>
    <w:rsid w:val="009329AC"/>
    <w:rsid w:val="00932CE0"/>
    <w:rsid w:val="0093380E"/>
    <w:rsid w:val="00933D83"/>
    <w:rsid w:val="00933F58"/>
    <w:rsid w:val="0093441A"/>
    <w:rsid w:val="00934E19"/>
    <w:rsid w:val="0093556B"/>
    <w:rsid w:val="009356C9"/>
    <w:rsid w:val="00935846"/>
    <w:rsid w:val="00935A03"/>
    <w:rsid w:val="00935ADD"/>
    <w:rsid w:val="0093698E"/>
    <w:rsid w:val="00936B1C"/>
    <w:rsid w:val="00936B23"/>
    <w:rsid w:val="00936BF9"/>
    <w:rsid w:val="009370E7"/>
    <w:rsid w:val="0094047E"/>
    <w:rsid w:val="00940957"/>
    <w:rsid w:val="0094099F"/>
    <w:rsid w:val="00940C67"/>
    <w:rsid w:val="00941063"/>
    <w:rsid w:val="009418C9"/>
    <w:rsid w:val="00941C0C"/>
    <w:rsid w:val="009428CB"/>
    <w:rsid w:val="009436D6"/>
    <w:rsid w:val="009437ED"/>
    <w:rsid w:val="00944696"/>
    <w:rsid w:val="00945630"/>
    <w:rsid w:val="0094670E"/>
    <w:rsid w:val="009469F6"/>
    <w:rsid w:val="00947A56"/>
    <w:rsid w:val="00947C02"/>
    <w:rsid w:val="00950386"/>
    <w:rsid w:val="009505A5"/>
    <w:rsid w:val="00950927"/>
    <w:rsid w:val="00950DEA"/>
    <w:rsid w:val="00950FDE"/>
    <w:rsid w:val="00951ECC"/>
    <w:rsid w:val="009526E9"/>
    <w:rsid w:val="0095277C"/>
    <w:rsid w:val="009529E8"/>
    <w:rsid w:val="00952CEB"/>
    <w:rsid w:val="009531B8"/>
    <w:rsid w:val="00953670"/>
    <w:rsid w:val="009539E6"/>
    <w:rsid w:val="00953AFC"/>
    <w:rsid w:val="00954553"/>
    <w:rsid w:val="009552C4"/>
    <w:rsid w:val="0095541C"/>
    <w:rsid w:val="00955428"/>
    <w:rsid w:val="009554ED"/>
    <w:rsid w:val="00955EA3"/>
    <w:rsid w:val="00955FFB"/>
    <w:rsid w:val="009561E4"/>
    <w:rsid w:val="00956912"/>
    <w:rsid w:val="00956CB8"/>
    <w:rsid w:val="00956FDF"/>
    <w:rsid w:val="009572D9"/>
    <w:rsid w:val="00960055"/>
    <w:rsid w:val="009602F9"/>
    <w:rsid w:val="00960574"/>
    <w:rsid w:val="00960591"/>
    <w:rsid w:val="009606E1"/>
    <w:rsid w:val="00961075"/>
    <w:rsid w:val="00961099"/>
    <w:rsid w:val="00961FF3"/>
    <w:rsid w:val="00962161"/>
    <w:rsid w:val="009624C9"/>
    <w:rsid w:val="00963385"/>
    <w:rsid w:val="009635F8"/>
    <w:rsid w:val="0096367C"/>
    <w:rsid w:val="00964175"/>
    <w:rsid w:val="009643F3"/>
    <w:rsid w:val="00964498"/>
    <w:rsid w:val="00964581"/>
    <w:rsid w:val="009646D5"/>
    <w:rsid w:val="00964CD1"/>
    <w:rsid w:val="0096509A"/>
    <w:rsid w:val="00965100"/>
    <w:rsid w:val="00965525"/>
    <w:rsid w:val="00965537"/>
    <w:rsid w:val="0096567A"/>
    <w:rsid w:val="00965F7B"/>
    <w:rsid w:val="00965FAB"/>
    <w:rsid w:val="00966068"/>
    <w:rsid w:val="0096606E"/>
    <w:rsid w:val="0096694E"/>
    <w:rsid w:val="00966C08"/>
    <w:rsid w:val="00966FE5"/>
    <w:rsid w:val="0096747D"/>
    <w:rsid w:val="00967D0B"/>
    <w:rsid w:val="00967FB3"/>
    <w:rsid w:val="009704A8"/>
    <w:rsid w:val="00970692"/>
    <w:rsid w:val="009708A2"/>
    <w:rsid w:val="00971054"/>
    <w:rsid w:val="00971E86"/>
    <w:rsid w:val="00972C3F"/>
    <w:rsid w:val="00972E6B"/>
    <w:rsid w:val="0097324D"/>
    <w:rsid w:val="009733E1"/>
    <w:rsid w:val="009743C6"/>
    <w:rsid w:val="009747FB"/>
    <w:rsid w:val="009749D1"/>
    <w:rsid w:val="00974DE6"/>
    <w:rsid w:val="00974EA7"/>
    <w:rsid w:val="00975068"/>
    <w:rsid w:val="009754DC"/>
    <w:rsid w:val="00975561"/>
    <w:rsid w:val="00975864"/>
    <w:rsid w:val="00975E05"/>
    <w:rsid w:val="009763D8"/>
    <w:rsid w:val="00976507"/>
    <w:rsid w:val="0097653F"/>
    <w:rsid w:val="009766AF"/>
    <w:rsid w:val="0097674D"/>
    <w:rsid w:val="009769D6"/>
    <w:rsid w:val="00977353"/>
    <w:rsid w:val="0097736B"/>
    <w:rsid w:val="00977472"/>
    <w:rsid w:val="00977972"/>
    <w:rsid w:val="009779E3"/>
    <w:rsid w:val="00977CEE"/>
    <w:rsid w:val="00977D0D"/>
    <w:rsid w:val="009801B6"/>
    <w:rsid w:val="00980467"/>
    <w:rsid w:val="009804E0"/>
    <w:rsid w:val="009809B8"/>
    <w:rsid w:val="00980B17"/>
    <w:rsid w:val="00980D21"/>
    <w:rsid w:val="009814D5"/>
    <w:rsid w:val="00982160"/>
    <w:rsid w:val="0098271E"/>
    <w:rsid w:val="009827D5"/>
    <w:rsid w:val="00982CEC"/>
    <w:rsid w:val="00982F24"/>
    <w:rsid w:val="00982F2E"/>
    <w:rsid w:val="0098318F"/>
    <w:rsid w:val="00983664"/>
    <w:rsid w:val="00983D60"/>
    <w:rsid w:val="00983DBF"/>
    <w:rsid w:val="00983F9F"/>
    <w:rsid w:val="009845F2"/>
    <w:rsid w:val="00984980"/>
    <w:rsid w:val="00985A48"/>
    <w:rsid w:val="00985A95"/>
    <w:rsid w:val="009864E6"/>
    <w:rsid w:val="00986A04"/>
    <w:rsid w:val="00986D02"/>
    <w:rsid w:val="00986D6B"/>
    <w:rsid w:val="009876D7"/>
    <w:rsid w:val="00987D1E"/>
    <w:rsid w:val="009902A0"/>
    <w:rsid w:val="00990B9A"/>
    <w:rsid w:val="009910FD"/>
    <w:rsid w:val="009914EA"/>
    <w:rsid w:val="0099262D"/>
    <w:rsid w:val="00992838"/>
    <w:rsid w:val="009929A8"/>
    <w:rsid w:val="009939B0"/>
    <w:rsid w:val="00993D51"/>
    <w:rsid w:val="00993F33"/>
    <w:rsid w:val="0099432D"/>
    <w:rsid w:val="009944F5"/>
    <w:rsid w:val="0099487B"/>
    <w:rsid w:val="00995137"/>
    <w:rsid w:val="0099538E"/>
    <w:rsid w:val="009955A8"/>
    <w:rsid w:val="00995DE2"/>
    <w:rsid w:val="00995DFC"/>
    <w:rsid w:val="009964EB"/>
    <w:rsid w:val="009974AE"/>
    <w:rsid w:val="0099777C"/>
    <w:rsid w:val="009977A4"/>
    <w:rsid w:val="0099784B"/>
    <w:rsid w:val="00997B06"/>
    <w:rsid w:val="00997C8C"/>
    <w:rsid w:val="009A0580"/>
    <w:rsid w:val="009A1588"/>
    <w:rsid w:val="009A16D8"/>
    <w:rsid w:val="009A173C"/>
    <w:rsid w:val="009A1971"/>
    <w:rsid w:val="009A1E1F"/>
    <w:rsid w:val="009A23ED"/>
    <w:rsid w:val="009A2489"/>
    <w:rsid w:val="009A248F"/>
    <w:rsid w:val="009A2878"/>
    <w:rsid w:val="009A2EF8"/>
    <w:rsid w:val="009A3400"/>
    <w:rsid w:val="009A3650"/>
    <w:rsid w:val="009A3659"/>
    <w:rsid w:val="009A37B8"/>
    <w:rsid w:val="009A4801"/>
    <w:rsid w:val="009A4997"/>
    <w:rsid w:val="009A4AA7"/>
    <w:rsid w:val="009A5271"/>
    <w:rsid w:val="009A5B25"/>
    <w:rsid w:val="009A5CCB"/>
    <w:rsid w:val="009A61C3"/>
    <w:rsid w:val="009A630E"/>
    <w:rsid w:val="009A64A6"/>
    <w:rsid w:val="009A6878"/>
    <w:rsid w:val="009A6AE9"/>
    <w:rsid w:val="009A6B0C"/>
    <w:rsid w:val="009A6BAB"/>
    <w:rsid w:val="009A7145"/>
    <w:rsid w:val="009A72F0"/>
    <w:rsid w:val="009A745E"/>
    <w:rsid w:val="009A783E"/>
    <w:rsid w:val="009A78D9"/>
    <w:rsid w:val="009A7AA0"/>
    <w:rsid w:val="009A7DA8"/>
    <w:rsid w:val="009A7EA6"/>
    <w:rsid w:val="009A7EC8"/>
    <w:rsid w:val="009B01A3"/>
    <w:rsid w:val="009B01CC"/>
    <w:rsid w:val="009B0E43"/>
    <w:rsid w:val="009B0FAB"/>
    <w:rsid w:val="009B15F9"/>
    <w:rsid w:val="009B1A37"/>
    <w:rsid w:val="009B1B6F"/>
    <w:rsid w:val="009B1CDC"/>
    <w:rsid w:val="009B2197"/>
    <w:rsid w:val="009B2216"/>
    <w:rsid w:val="009B2ADD"/>
    <w:rsid w:val="009B2D02"/>
    <w:rsid w:val="009B3743"/>
    <w:rsid w:val="009B38E1"/>
    <w:rsid w:val="009B3F6F"/>
    <w:rsid w:val="009B470E"/>
    <w:rsid w:val="009B538C"/>
    <w:rsid w:val="009B5B86"/>
    <w:rsid w:val="009B5C07"/>
    <w:rsid w:val="009B6198"/>
    <w:rsid w:val="009B6403"/>
    <w:rsid w:val="009B65DF"/>
    <w:rsid w:val="009B6FE2"/>
    <w:rsid w:val="009B70A8"/>
    <w:rsid w:val="009B7144"/>
    <w:rsid w:val="009B730F"/>
    <w:rsid w:val="009B7472"/>
    <w:rsid w:val="009C00B4"/>
    <w:rsid w:val="009C014A"/>
    <w:rsid w:val="009C0294"/>
    <w:rsid w:val="009C0C9E"/>
    <w:rsid w:val="009C0D6E"/>
    <w:rsid w:val="009C1737"/>
    <w:rsid w:val="009C17B9"/>
    <w:rsid w:val="009C1C74"/>
    <w:rsid w:val="009C238B"/>
    <w:rsid w:val="009C27E3"/>
    <w:rsid w:val="009C2E83"/>
    <w:rsid w:val="009C2FD7"/>
    <w:rsid w:val="009C35E2"/>
    <w:rsid w:val="009C3ABD"/>
    <w:rsid w:val="009C3DF9"/>
    <w:rsid w:val="009C48BB"/>
    <w:rsid w:val="009C4955"/>
    <w:rsid w:val="009C4D75"/>
    <w:rsid w:val="009C4F14"/>
    <w:rsid w:val="009C4FFC"/>
    <w:rsid w:val="009C5140"/>
    <w:rsid w:val="009C56D6"/>
    <w:rsid w:val="009C5A84"/>
    <w:rsid w:val="009C5FD7"/>
    <w:rsid w:val="009C6469"/>
    <w:rsid w:val="009C6792"/>
    <w:rsid w:val="009C7587"/>
    <w:rsid w:val="009C75C8"/>
    <w:rsid w:val="009C7747"/>
    <w:rsid w:val="009C7AF2"/>
    <w:rsid w:val="009C7E61"/>
    <w:rsid w:val="009C7FF8"/>
    <w:rsid w:val="009D00A1"/>
    <w:rsid w:val="009D09DA"/>
    <w:rsid w:val="009D0CE3"/>
    <w:rsid w:val="009D0F95"/>
    <w:rsid w:val="009D118D"/>
    <w:rsid w:val="009D145C"/>
    <w:rsid w:val="009D15EA"/>
    <w:rsid w:val="009D16A1"/>
    <w:rsid w:val="009D1701"/>
    <w:rsid w:val="009D1BF3"/>
    <w:rsid w:val="009D270B"/>
    <w:rsid w:val="009D3279"/>
    <w:rsid w:val="009D353A"/>
    <w:rsid w:val="009D3A44"/>
    <w:rsid w:val="009D467B"/>
    <w:rsid w:val="009D4AEC"/>
    <w:rsid w:val="009D5673"/>
    <w:rsid w:val="009D5CA7"/>
    <w:rsid w:val="009D5DBD"/>
    <w:rsid w:val="009D6144"/>
    <w:rsid w:val="009D688F"/>
    <w:rsid w:val="009D6D6F"/>
    <w:rsid w:val="009D71E4"/>
    <w:rsid w:val="009D78D0"/>
    <w:rsid w:val="009D7B8F"/>
    <w:rsid w:val="009D7DE5"/>
    <w:rsid w:val="009E0B8F"/>
    <w:rsid w:val="009E109F"/>
    <w:rsid w:val="009E12B1"/>
    <w:rsid w:val="009E1331"/>
    <w:rsid w:val="009E15E3"/>
    <w:rsid w:val="009E18D1"/>
    <w:rsid w:val="009E1F01"/>
    <w:rsid w:val="009E1F0E"/>
    <w:rsid w:val="009E2122"/>
    <w:rsid w:val="009E2431"/>
    <w:rsid w:val="009E24DC"/>
    <w:rsid w:val="009E277A"/>
    <w:rsid w:val="009E2955"/>
    <w:rsid w:val="009E2EEF"/>
    <w:rsid w:val="009E3451"/>
    <w:rsid w:val="009E3545"/>
    <w:rsid w:val="009E355B"/>
    <w:rsid w:val="009E3885"/>
    <w:rsid w:val="009E3887"/>
    <w:rsid w:val="009E38CA"/>
    <w:rsid w:val="009E49E8"/>
    <w:rsid w:val="009E4C15"/>
    <w:rsid w:val="009E4D70"/>
    <w:rsid w:val="009E5035"/>
    <w:rsid w:val="009E5AB8"/>
    <w:rsid w:val="009E63E1"/>
    <w:rsid w:val="009E65FD"/>
    <w:rsid w:val="009E670A"/>
    <w:rsid w:val="009E67D6"/>
    <w:rsid w:val="009E69BA"/>
    <w:rsid w:val="009E6BF2"/>
    <w:rsid w:val="009E6D24"/>
    <w:rsid w:val="009F0730"/>
    <w:rsid w:val="009F0843"/>
    <w:rsid w:val="009F0AC9"/>
    <w:rsid w:val="009F1196"/>
    <w:rsid w:val="009F142E"/>
    <w:rsid w:val="009F1B7C"/>
    <w:rsid w:val="009F2283"/>
    <w:rsid w:val="009F27D4"/>
    <w:rsid w:val="009F2D33"/>
    <w:rsid w:val="009F30E4"/>
    <w:rsid w:val="009F3A41"/>
    <w:rsid w:val="009F3AB7"/>
    <w:rsid w:val="009F3AD0"/>
    <w:rsid w:val="009F3AF2"/>
    <w:rsid w:val="009F3E81"/>
    <w:rsid w:val="009F3F47"/>
    <w:rsid w:val="009F3F6D"/>
    <w:rsid w:val="009F4561"/>
    <w:rsid w:val="009F4836"/>
    <w:rsid w:val="009F4D9F"/>
    <w:rsid w:val="009F4DB5"/>
    <w:rsid w:val="009F4F00"/>
    <w:rsid w:val="009F4F5A"/>
    <w:rsid w:val="009F5131"/>
    <w:rsid w:val="009F58D2"/>
    <w:rsid w:val="009F5BCF"/>
    <w:rsid w:val="009F61D5"/>
    <w:rsid w:val="009F65B6"/>
    <w:rsid w:val="009F65F1"/>
    <w:rsid w:val="009F680D"/>
    <w:rsid w:val="009F68D1"/>
    <w:rsid w:val="009F69D8"/>
    <w:rsid w:val="009F70AB"/>
    <w:rsid w:val="009F7C08"/>
    <w:rsid w:val="009F7D52"/>
    <w:rsid w:val="00A009BC"/>
    <w:rsid w:val="00A00C6F"/>
    <w:rsid w:val="00A00C7C"/>
    <w:rsid w:val="00A00D2C"/>
    <w:rsid w:val="00A00F12"/>
    <w:rsid w:val="00A0142F"/>
    <w:rsid w:val="00A0147F"/>
    <w:rsid w:val="00A019FB"/>
    <w:rsid w:val="00A01BAB"/>
    <w:rsid w:val="00A01C8B"/>
    <w:rsid w:val="00A01ED3"/>
    <w:rsid w:val="00A01F11"/>
    <w:rsid w:val="00A0218E"/>
    <w:rsid w:val="00A021EB"/>
    <w:rsid w:val="00A02387"/>
    <w:rsid w:val="00A029C5"/>
    <w:rsid w:val="00A02B1D"/>
    <w:rsid w:val="00A036B4"/>
    <w:rsid w:val="00A038B9"/>
    <w:rsid w:val="00A039DC"/>
    <w:rsid w:val="00A040C8"/>
    <w:rsid w:val="00A0422F"/>
    <w:rsid w:val="00A044D7"/>
    <w:rsid w:val="00A0450C"/>
    <w:rsid w:val="00A04DEF"/>
    <w:rsid w:val="00A04F1E"/>
    <w:rsid w:val="00A05325"/>
    <w:rsid w:val="00A057A9"/>
    <w:rsid w:val="00A05836"/>
    <w:rsid w:val="00A05A05"/>
    <w:rsid w:val="00A05A3C"/>
    <w:rsid w:val="00A05CD8"/>
    <w:rsid w:val="00A0639E"/>
    <w:rsid w:val="00A06723"/>
    <w:rsid w:val="00A06927"/>
    <w:rsid w:val="00A069DF"/>
    <w:rsid w:val="00A06BAD"/>
    <w:rsid w:val="00A07DBF"/>
    <w:rsid w:val="00A102BF"/>
    <w:rsid w:val="00A105D9"/>
    <w:rsid w:val="00A10B71"/>
    <w:rsid w:val="00A10B9D"/>
    <w:rsid w:val="00A10D02"/>
    <w:rsid w:val="00A10D13"/>
    <w:rsid w:val="00A115E7"/>
    <w:rsid w:val="00A115FB"/>
    <w:rsid w:val="00A11C69"/>
    <w:rsid w:val="00A11E0C"/>
    <w:rsid w:val="00A1218D"/>
    <w:rsid w:val="00A12868"/>
    <w:rsid w:val="00A12E69"/>
    <w:rsid w:val="00A12E70"/>
    <w:rsid w:val="00A13092"/>
    <w:rsid w:val="00A1368D"/>
    <w:rsid w:val="00A136BF"/>
    <w:rsid w:val="00A13771"/>
    <w:rsid w:val="00A138D2"/>
    <w:rsid w:val="00A13C57"/>
    <w:rsid w:val="00A13D3E"/>
    <w:rsid w:val="00A13EB9"/>
    <w:rsid w:val="00A14E1A"/>
    <w:rsid w:val="00A15718"/>
    <w:rsid w:val="00A1587C"/>
    <w:rsid w:val="00A15F6F"/>
    <w:rsid w:val="00A161C7"/>
    <w:rsid w:val="00A16DA5"/>
    <w:rsid w:val="00A16EFA"/>
    <w:rsid w:val="00A17B63"/>
    <w:rsid w:val="00A17BBA"/>
    <w:rsid w:val="00A17CD8"/>
    <w:rsid w:val="00A17F0B"/>
    <w:rsid w:val="00A200F4"/>
    <w:rsid w:val="00A20163"/>
    <w:rsid w:val="00A20C8F"/>
    <w:rsid w:val="00A2109A"/>
    <w:rsid w:val="00A2133D"/>
    <w:rsid w:val="00A2150F"/>
    <w:rsid w:val="00A2184F"/>
    <w:rsid w:val="00A21894"/>
    <w:rsid w:val="00A21897"/>
    <w:rsid w:val="00A21B31"/>
    <w:rsid w:val="00A221C4"/>
    <w:rsid w:val="00A221DA"/>
    <w:rsid w:val="00A228A8"/>
    <w:rsid w:val="00A22B88"/>
    <w:rsid w:val="00A24162"/>
    <w:rsid w:val="00A2416C"/>
    <w:rsid w:val="00A2464B"/>
    <w:rsid w:val="00A254DD"/>
    <w:rsid w:val="00A25A80"/>
    <w:rsid w:val="00A25DC7"/>
    <w:rsid w:val="00A261DA"/>
    <w:rsid w:val="00A263A3"/>
    <w:rsid w:val="00A263E4"/>
    <w:rsid w:val="00A26CD3"/>
    <w:rsid w:val="00A279B2"/>
    <w:rsid w:val="00A27CAD"/>
    <w:rsid w:val="00A302D2"/>
    <w:rsid w:val="00A30BEB"/>
    <w:rsid w:val="00A30C88"/>
    <w:rsid w:val="00A30D6C"/>
    <w:rsid w:val="00A31158"/>
    <w:rsid w:val="00A315E4"/>
    <w:rsid w:val="00A317FE"/>
    <w:rsid w:val="00A3185A"/>
    <w:rsid w:val="00A31B73"/>
    <w:rsid w:val="00A31C6A"/>
    <w:rsid w:val="00A31D95"/>
    <w:rsid w:val="00A31DF2"/>
    <w:rsid w:val="00A32F95"/>
    <w:rsid w:val="00A3357D"/>
    <w:rsid w:val="00A33E88"/>
    <w:rsid w:val="00A3416C"/>
    <w:rsid w:val="00A34A97"/>
    <w:rsid w:val="00A34AA4"/>
    <w:rsid w:val="00A34F64"/>
    <w:rsid w:val="00A354BA"/>
    <w:rsid w:val="00A3594E"/>
    <w:rsid w:val="00A359B8"/>
    <w:rsid w:val="00A35B8F"/>
    <w:rsid w:val="00A35D36"/>
    <w:rsid w:val="00A35E7D"/>
    <w:rsid w:val="00A364AB"/>
    <w:rsid w:val="00A364FC"/>
    <w:rsid w:val="00A365B9"/>
    <w:rsid w:val="00A3678B"/>
    <w:rsid w:val="00A36B04"/>
    <w:rsid w:val="00A36ECE"/>
    <w:rsid w:val="00A37520"/>
    <w:rsid w:val="00A37B15"/>
    <w:rsid w:val="00A40095"/>
    <w:rsid w:val="00A40372"/>
    <w:rsid w:val="00A418DA"/>
    <w:rsid w:val="00A42219"/>
    <w:rsid w:val="00A42557"/>
    <w:rsid w:val="00A4309A"/>
    <w:rsid w:val="00A43516"/>
    <w:rsid w:val="00A43BAF"/>
    <w:rsid w:val="00A43C42"/>
    <w:rsid w:val="00A43CA9"/>
    <w:rsid w:val="00A44897"/>
    <w:rsid w:val="00A44E6A"/>
    <w:rsid w:val="00A452FB"/>
    <w:rsid w:val="00A458D0"/>
    <w:rsid w:val="00A45E54"/>
    <w:rsid w:val="00A460DF"/>
    <w:rsid w:val="00A46252"/>
    <w:rsid w:val="00A46287"/>
    <w:rsid w:val="00A46425"/>
    <w:rsid w:val="00A4676A"/>
    <w:rsid w:val="00A46CE2"/>
    <w:rsid w:val="00A473C2"/>
    <w:rsid w:val="00A477EA"/>
    <w:rsid w:val="00A478DB"/>
    <w:rsid w:val="00A47AD6"/>
    <w:rsid w:val="00A47B86"/>
    <w:rsid w:val="00A47DC3"/>
    <w:rsid w:val="00A5065F"/>
    <w:rsid w:val="00A5093E"/>
    <w:rsid w:val="00A50AFE"/>
    <w:rsid w:val="00A50FF7"/>
    <w:rsid w:val="00A519ED"/>
    <w:rsid w:val="00A51E19"/>
    <w:rsid w:val="00A52365"/>
    <w:rsid w:val="00A5305F"/>
    <w:rsid w:val="00A53357"/>
    <w:rsid w:val="00A53390"/>
    <w:rsid w:val="00A533FC"/>
    <w:rsid w:val="00A53686"/>
    <w:rsid w:val="00A53A13"/>
    <w:rsid w:val="00A53BE8"/>
    <w:rsid w:val="00A53DA2"/>
    <w:rsid w:val="00A540CA"/>
    <w:rsid w:val="00A5457E"/>
    <w:rsid w:val="00A54708"/>
    <w:rsid w:val="00A54947"/>
    <w:rsid w:val="00A54A96"/>
    <w:rsid w:val="00A550CB"/>
    <w:rsid w:val="00A5607C"/>
    <w:rsid w:val="00A564C7"/>
    <w:rsid w:val="00A567F8"/>
    <w:rsid w:val="00A56BAE"/>
    <w:rsid w:val="00A56C13"/>
    <w:rsid w:val="00A56CD8"/>
    <w:rsid w:val="00A56DB3"/>
    <w:rsid w:val="00A56E92"/>
    <w:rsid w:val="00A56F1A"/>
    <w:rsid w:val="00A576F3"/>
    <w:rsid w:val="00A577CA"/>
    <w:rsid w:val="00A578F6"/>
    <w:rsid w:val="00A57A9B"/>
    <w:rsid w:val="00A57B9E"/>
    <w:rsid w:val="00A57E4C"/>
    <w:rsid w:val="00A602C2"/>
    <w:rsid w:val="00A60406"/>
    <w:rsid w:val="00A607C2"/>
    <w:rsid w:val="00A610D6"/>
    <w:rsid w:val="00A617CC"/>
    <w:rsid w:val="00A61886"/>
    <w:rsid w:val="00A621FB"/>
    <w:rsid w:val="00A623CF"/>
    <w:rsid w:val="00A626D0"/>
    <w:rsid w:val="00A629C0"/>
    <w:rsid w:val="00A63904"/>
    <w:rsid w:val="00A63BB6"/>
    <w:rsid w:val="00A64349"/>
    <w:rsid w:val="00A64374"/>
    <w:rsid w:val="00A6519B"/>
    <w:rsid w:val="00A6534E"/>
    <w:rsid w:val="00A65564"/>
    <w:rsid w:val="00A655B9"/>
    <w:rsid w:val="00A65C43"/>
    <w:rsid w:val="00A700D6"/>
    <w:rsid w:val="00A70297"/>
    <w:rsid w:val="00A70334"/>
    <w:rsid w:val="00A70C03"/>
    <w:rsid w:val="00A71626"/>
    <w:rsid w:val="00A71888"/>
    <w:rsid w:val="00A719D0"/>
    <w:rsid w:val="00A719FE"/>
    <w:rsid w:val="00A71B73"/>
    <w:rsid w:val="00A71E0A"/>
    <w:rsid w:val="00A721D6"/>
    <w:rsid w:val="00A72AA9"/>
    <w:rsid w:val="00A7406B"/>
    <w:rsid w:val="00A75148"/>
    <w:rsid w:val="00A75C20"/>
    <w:rsid w:val="00A75C97"/>
    <w:rsid w:val="00A772C5"/>
    <w:rsid w:val="00A77619"/>
    <w:rsid w:val="00A7779F"/>
    <w:rsid w:val="00A777DB"/>
    <w:rsid w:val="00A77B62"/>
    <w:rsid w:val="00A800AC"/>
    <w:rsid w:val="00A805C5"/>
    <w:rsid w:val="00A80729"/>
    <w:rsid w:val="00A80B81"/>
    <w:rsid w:val="00A80D85"/>
    <w:rsid w:val="00A80F23"/>
    <w:rsid w:val="00A8138D"/>
    <w:rsid w:val="00A816FD"/>
    <w:rsid w:val="00A81700"/>
    <w:rsid w:val="00A81A5C"/>
    <w:rsid w:val="00A82002"/>
    <w:rsid w:val="00A8200C"/>
    <w:rsid w:val="00A82040"/>
    <w:rsid w:val="00A820F6"/>
    <w:rsid w:val="00A82FA2"/>
    <w:rsid w:val="00A83159"/>
    <w:rsid w:val="00A83DD9"/>
    <w:rsid w:val="00A8486A"/>
    <w:rsid w:val="00A84D4E"/>
    <w:rsid w:val="00A84F06"/>
    <w:rsid w:val="00A85340"/>
    <w:rsid w:val="00A85514"/>
    <w:rsid w:val="00A85B06"/>
    <w:rsid w:val="00A8621E"/>
    <w:rsid w:val="00A8676F"/>
    <w:rsid w:val="00A8708E"/>
    <w:rsid w:val="00A872A2"/>
    <w:rsid w:val="00A87500"/>
    <w:rsid w:val="00A87682"/>
    <w:rsid w:val="00A8787F"/>
    <w:rsid w:val="00A90878"/>
    <w:rsid w:val="00A90A5E"/>
    <w:rsid w:val="00A915B6"/>
    <w:rsid w:val="00A91612"/>
    <w:rsid w:val="00A91F90"/>
    <w:rsid w:val="00A92032"/>
    <w:rsid w:val="00A9307E"/>
    <w:rsid w:val="00A9329A"/>
    <w:rsid w:val="00A93737"/>
    <w:rsid w:val="00A93945"/>
    <w:rsid w:val="00A94280"/>
    <w:rsid w:val="00A94323"/>
    <w:rsid w:val="00A94439"/>
    <w:rsid w:val="00A9447E"/>
    <w:rsid w:val="00A94560"/>
    <w:rsid w:val="00A94E1D"/>
    <w:rsid w:val="00A954B5"/>
    <w:rsid w:val="00A956D7"/>
    <w:rsid w:val="00A95B90"/>
    <w:rsid w:val="00A95C10"/>
    <w:rsid w:val="00A96567"/>
    <w:rsid w:val="00A968B1"/>
    <w:rsid w:val="00A971AB"/>
    <w:rsid w:val="00A97DD0"/>
    <w:rsid w:val="00A97F71"/>
    <w:rsid w:val="00AA0014"/>
    <w:rsid w:val="00AA06B4"/>
    <w:rsid w:val="00AA08BD"/>
    <w:rsid w:val="00AA1148"/>
    <w:rsid w:val="00AA1504"/>
    <w:rsid w:val="00AA177B"/>
    <w:rsid w:val="00AA1DDC"/>
    <w:rsid w:val="00AA22A3"/>
    <w:rsid w:val="00AA2648"/>
    <w:rsid w:val="00AA26A6"/>
    <w:rsid w:val="00AA2986"/>
    <w:rsid w:val="00AA2E8A"/>
    <w:rsid w:val="00AA2F65"/>
    <w:rsid w:val="00AA32B8"/>
    <w:rsid w:val="00AA345F"/>
    <w:rsid w:val="00AA37F0"/>
    <w:rsid w:val="00AA3AC0"/>
    <w:rsid w:val="00AA4C7A"/>
    <w:rsid w:val="00AA4FB2"/>
    <w:rsid w:val="00AA510C"/>
    <w:rsid w:val="00AA5640"/>
    <w:rsid w:val="00AA5F22"/>
    <w:rsid w:val="00AA6D90"/>
    <w:rsid w:val="00AA6F6E"/>
    <w:rsid w:val="00AA7492"/>
    <w:rsid w:val="00AA775E"/>
    <w:rsid w:val="00AA7FC4"/>
    <w:rsid w:val="00AB06D8"/>
    <w:rsid w:val="00AB0BE9"/>
    <w:rsid w:val="00AB0BF1"/>
    <w:rsid w:val="00AB104A"/>
    <w:rsid w:val="00AB1091"/>
    <w:rsid w:val="00AB1208"/>
    <w:rsid w:val="00AB195B"/>
    <w:rsid w:val="00AB1AEA"/>
    <w:rsid w:val="00AB2246"/>
    <w:rsid w:val="00AB2B70"/>
    <w:rsid w:val="00AB309C"/>
    <w:rsid w:val="00AB35D5"/>
    <w:rsid w:val="00AB3838"/>
    <w:rsid w:val="00AB3875"/>
    <w:rsid w:val="00AB3888"/>
    <w:rsid w:val="00AB3C7F"/>
    <w:rsid w:val="00AB3CC4"/>
    <w:rsid w:val="00AB433C"/>
    <w:rsid w:val="00AB4755"/>
    <w:rsid w:val="00AB490E"/>
    <w:rsid w:val="00AB4915"/>
    <w:rsid w:val="00AB4AFC"/>
    <w:rsid w:val="00AB4DB7"/>
    <w:rsid w:val="00AB4FB8"/>
    <w:rsid w:val="00AB5378"/>
    <w:rsid w:val="00AB5C95"/>
    <w:rsid w:val="00AB5CF6"/>
    <w:rsid w:val="00AB5E43"/>
    <w:rsid w:val="00AB5E44"/>
    <w:rsid w:val="00AB6933"/>
    <w:rsid w:val="00AB71A1"/>
    <w:rsid w:val="00AB7776"/>
    <w:rsid w:val="00AB7A3C"/>
    <w:rsid w:val="00AB7AAE"/>
    <w:rsid w:val="00AC001A"/>
    <w:rsid w:val="00AC0031"/>
    <w:rsid w:val="00AC00C6"/>
    <w:rsid w:val="00AC0EAB"/>
    <w:rsid w:val="00AC0FFF"/>
    <w:rsid w:val="00AC1684"/>
    <w:rsid w:val="00AC17AA"/>
    <w:rsid w:val="00AC17F7"/>
    <w:rsid w:val="00AC184F"/>
    <w:rsid w:val="00AC1D88"/>
    <w:rsid w:val="00AC1E02"/>
    <w:rsid w:val="00AC1F17"/>
    <w:rsid w:val="00AC213C"/>
    <w:rsid w:val="00AC26AB"/>
    <w:rsid w:val="00AC26F7"/>
    <w:rsid w:val="00AC2B7F"/>
    <w:rsid w:val="00AC2CCA"/>
    <w:rsid w:val="00AC34F8"/>
    <w:rsid w:val="00AC3D0A"/>
    <w:rsid w:val="00AC4188"/>
    <w:rsid w:val="00AC4B32"/>
    <w:rsid w:val="00AC4F16"/>
    <w:rsid w:val="00AC5250"/>
    <w:rsid w:val="00AC5422"/>
    <w:rsid w:val="00AC587F"/>
    <w:rsid w:val="00AC65B6"/>
    <w:rsid w:val="00AC6688"/>
    <w:rsid w:val="00AC6BCC"/>
    <w:rsid w:val="00AC6C9F"/>
    <w:rsid w:val="00AC6CC1"/>
    <w:rsid w:val="00AC7099"/>
    <w:rsid w:val="00AC7214"/>
    <w:rsid w:val="00AC76AD"/>
    <w:rsid w:val="00AC7925"/>
    <w:rsid w:val="00AC79FE"/>
    <w:rsid w:val="00AC7D9E"/>
    <w:rsid w:val="00AD040F"/>
    <w:rsid w:val="00AD05E9"/>
    <w:rsid w:val="00AD0CF3"/>
    <w:rsid w:val="00AD1093"/>
    <w:rsid w:val="00AD173F"/>
    <w:rsid w:val="00AD197C"/>
    <w:rsid w:val="00AD1C8F"/>
    <w:rsid w:val="00AD1DFB"/>
    <w:rsid w:val="00AD1EEE"/>
    <w:rsid w:val="00AD1FEF"/>
    <w:rsid w:val="00AD2B35"/>
    <w:rsid w:val="00AD2D2C"/>
    <w:rsid w:val="00AD332C"/>
    <w:rsid w:val="00AD34D0"/>
    <w:rsid w:val="00AD3679"/>
    <w:rsid w:val="00AD3C1B"/>
    <w:rsid w:val="00AD475F"/>
    <w:rsid w:val="00AD4764"/>
    <w:rsid w:val="00AD51B7"/>
    <w:rsid w:val="00AD52F4"/>
    <w:rsid w:val="00AD535C"/>
    <w:rsid w:val="00AD5562"/>
    <w:rsid w:val="00AD56CF"/>
    <w:rsid w:val="00AD587B"/>
    <w:rsid w:val="00AD5B1D"/>
    <w:rsid w:val="00AD6208"/>
    <w:rsid w:val="00AD6DB9"/>
    <w:rsid w:val="00AD79CC"/>
    <w:rsid w:val="00AD7B96"/>
    <w:rsid w:val="00AD7C65"/>
    <w:rsid w:val="00AD7FCD"/>
    <w:rsid w:val="00AE0674"/>
    <w:rsid w:val="00AE0843"/>
    <w:rsid w:val="00AE0A58"/>
    <w:rsid w:val="00AE0D8D"/>
    <w:rsid w:val="00AE0F6E"/>
    <w:rsid w:val="00AE1514"/>
    <w:rsid w:val="00AE17BF"/>
    <w:rsid w:val="00AE1C9E"/>
    <w:rsid w:val="00AE21AE"/>
    <w:rsid w:val="00AE236D"/>
    <w:rsid w:val="00AE261E"/>
    <w:rsid w:val="00AE29FC"/>
    <w:rsid w:val="00AE2D67"/>
    <w:rsid w:val="00AE2D82"/>
    <w:rsid w:val="00AE2F43"/>
    <w:rsid w:val="00AE3203"/>
    <w:rsid w:val="00AE332F"/>
    <w:rsid w:val="00AE3649"/>
    <w:rsid w:val="00AE378E"/>
    <w:rsid w:val="00AE37A7"/>
    <w:rsid w:val="00AE3D03"/>
    <w:rsid w:val="00AE3F53"/>
    <w:rsid w:val="00AE4519"/>
    <w:rsid w:val="00AE4888"/>
    <w:rsid w:val="00AE4E9E"/>
    <w:rsid w:val="00AE4FBF"/>
    <w:rsid w:val="00AE532E"/>
    <w:rsid w:val="00AE5757"/>
    <w:rsid w:val="00AE58C0"/>
    <w:rsid w:val="00AE5AAB"/>
    <w:rsid w:val="00AE5BDB"/>
    <w:rsid w:val="00AE6113"/>
    <w:rsid w:val="00AE6602"/>
    <w:rsid w:val="00AE6780"/>
    <w:rsid w:val="00AE6AF9"/>
    <w:rsid w:val="00AE6C07"/>
    <w:rsid w:val="00AE70DB"/>
    <w:rsid w:val="00AE7146"/>
    <w:rsid w:val="00AE7AB4"/>
    <w:rsid w:val="00AE7D49"/>
    <w:rsid w:val="00AF09F5"/>
    <w:rsid w:val="00AF1D14"/>
    <w:rsid w:val="00AF251E"/>
    <w:rsid w:val="00AF290A"/>
    <w:rsid w:val="00AF30C1"/>
    <w:rsid w:val="00AF36E3"/>
    <w:rsid w:val="00AF3844"/>
    <w:rsid w:val="00AF4140"/>
    <w:rsid w:val="00AF45FF"/>
    <w:rsid w:val="00AF4816"/>
    <w:rsid w:val="00AF499A"/>
    <w:rsid w:val="00AF4CB8"/>
    <w:rsid w:val="00AF5201"/>
    <w:rsid w:val="00AF6199"/>
    <w:rsid w:val="00AF64F5"/>
    <w:rsid w:val="00AF6630"/>
    <w:rsid w:val="00AF6730"/>
    <w:rsid w:val="00AF6A19"/>
    <w:rsid w:val="00AF6EDC"/>
    <w:rsid w:val="00AF7202"/>
    <w:rsid w:val="00AF7761"/>
    <w:rsid w:val="00AF7C33"/>
    <w:rsid w:val="00AF7DDB"/>
    <w:rsid w:val="00B0003E"/>
    <w:rsid w:val="00B008E2"/>
    <w:rsid w:val="00B01114"/>
    <w:rsid w:val="00B011D7"/>
    <w:rsid w:val="00B016F6"/>
    <w:rsid w:val="00B0275E"/>
    <w:rsid w:val="00B02881"/>
    <w:rsid w:val="00B02891"/>
    <w:rsid w:val="00B02E8B"/>
    <w:rsid w:val="00B03141"/>
    <w:rsid w:val="00B0377F"/>
    <w:rsid w:val="00B03DAF"/>
    <w:rsid w:val="00B0466F"/>
    <w:rsid w:val="00B047B8"/>
    <w:rsid w:val="00B04C7E"/>
    <w:rsid w:val="00B05192"/>
    <w:rsid w:val="00B05238"/>
    <w:rsid w:val="00B052E7"/>
    <w:rsid w:val="00B053AB"/>
    <w:rsid w:val="00B05651"/>
    <w:rsid w:val="00B05726"/>
    <w:rsid w:val="00B05B20"/>
    <w:rsid w:val="00B05F64"/>
    <w:rsid w:val="00B06E01"/>
    <w:rsid w:val="00B06EC9"/>
    <w:rsid w:val="00B07186"/>
    <w:rsid w:val="00B07873"/>
    <w:rsid w:val="00B07C17"/>
    <w:rsid w:val="00B108C1"/>
    <w:rsid w:val="00B10CE4"/>
    <w:rsid w:val="00B10DF0"/>
    <w:rsid w:val="00B10EE1"/>
    <w:rsid w:val="00B1163A"/>
    <w:rsid w:val="00B11A1F"/>
    <w:rsid w:val="00B11C08"/>
    <w:rsid w:val="00B11E01"/>
    <w:rsid w:val="00B126C9"/>
    <w:rsid w:val="00B12BF8"/>
    <w:rsid w:val="00B131CE"/>
    <w:rsid w:val="00B13310"/>
    <w:rsid w:val="00B139D4"/>
    <w:rsid w:val="00B13A69"/>
    <w:rsid w:val="00B1456D"/>
    <w:rsid w:val="00B14D98"/>
    <w:rsid w:val="00B15370"/>
    <w:rsid w:val="00B15477"/>
    <w:rsid w:val="00B1557E"/>
    <w:rsid w:val="00B15F5D"/>
    <w:rsid w:val="00B1679C"/>
    <w:rsid w:val="00B16815"/>
    <w:rsid w:val="00B1695A"/>
    <w:rsid w:val="00B16A03"/>
    <w:rsid w:val="00B16A4E"/>
    <w:rsid w:val="00B16E12"/>
    <w:rsid w:val="00B176E5"/>
    <w:rsid w:val="00B17A5B"/>
    <w:rsid w:val="00B20256"/>
    <w:rsid w:val="00B20505"/>
    <w:rsid w:val="00B20BCA"/>
    <w:rsid w:val="00B21141"/>
    <w:rsid w:val="00B21845"/>
    <w:rsid w:val="00B22DEE"/>
    <w:rsid w:val="00B23487"/>
    <w:rsid w:val="00B239C0"/>
    <w:rsid w:val="00B23C7B"/>
    <w:rsid w:val="00B23F25"/>
    <w:rsid w:val="00B245D4"/>
    <w:rsid w:val="00B24A64"/>
    <w:rsid w:val="00B2521C"/>
    <w:rsid w:val="00B25AB2"/>
    <w:rsid w:val="00B26049"/>
    <w:rsid w:val="00B26209"/>
    <w:rsid w:val="00B266F0"/>
    <w:rsid w:val="00B26E0E"/>
    <w:rsid w:val="00B27413"/>
    <w:rsid w:val="00B275C1"/>
    <w:rsid w:val="00B27F89"/>
    <w:rsid w:val="00B3064A"/>
    <w:rsid w:val="00B30B73"/>
    <w:rsid w:val="00B30E9A"/>
    <w:rsid w:val="00B313C0"/>
    <w:rsid w:val="00B3140B"/>
    <w:rsid w:val="00B316BF"/>
    <w:rsid w:val="00B31C1E"/>
    <w:rsid w:val="00B3251C"/>
    <w:rsid w:val="00B32928"/>
    <w:rsid w:val="00B334FB"/>
    <w:rsid w:val="00B3374D"/>
    <w:rsid w:val="00B34C9A"/>
    <w:rsid w:val="00B34E41"/>
    <w:rsid w:val="00B351A3"/>
    <w:rsid w:val="00B35299"/>
    <w:rsid w:val="00B354F7"/>
    <w:rsid w:val="00B35671"/>
    <w:rsid w:val="00B3592E"/>
    <w:rsid w:val="00B35BBB"/>
    <w:rsid w:val="00B35DCA"/>
    <w:rsid w:val="00B36498"/>
    <w:rsid w:val="00B3698C"/>
    <w:rsid w:val="00B36BDF"/>
    <w:rsid w:val="00B36CA1"/>
    <w:rsid w:val="00B36E04"/>
    <w:rsid w:val="00B3740B"/>
    <w:rsid w:val="00B37ED4"/>
    <w:rsid w:val="00B40156"/>
    <w:rsid w:val="00B40562"/>
    <w:rsid w:val="00B40857"/>
    <w:rsid w:val="00B40E72"/>
    <w:rsid w:val="00B40F95"/>
    <w:rsid w:val="00B41284"/>
    <w:rsid w:val="00B4150C"/>
    <w:rsid w:val="00B4185C"/>
    <w:rsid w:val="00B420E2"/>
    <w:rsid w:val="00B4278D"/>
    <w:rsid w:val="00B43053"/>
    <w:rsid w:val="00B430F4"/>
    <w:rsid w:val="00B433F4"/>
    <w:rsid w:val="00B43D12"/>
    <w:rsid w:val="00B43F71"/>
    <w:rsid w:val="00B44070"/>
    <w:rsid w:val="00B44964"/>
    <w:rsid w:val="00B45774"/>
    <w:rsid w:val="00B45825"/>
    <w:rsid w:val="00B45900"/>
    <w:rsid w:val="00B46398"/>
    <w:rsid w:val="00B4651C"/>
    <w:rsid w:val="00B465A9"/>
    <w:rsid w:val="00B467EB"/>
    <w:rsid w:val="00B46C42"/>
    <w:rsid w:val="00B4762C"/>
    <w:rsid w:val="00B47664"/>
    <w:rsid w:val="00B476DD"/>
    <w:rsid w:val="00B47765"/>
    <w:rsid w:val="00B47A12"/>
    <w:rsid w:val="00B5035E"/>
    <w:rsid w:val="00B50414"/>
    <w:rsid w:val="00B50EF7"/>
    <w:rsid w:val="00B51195"/>
    <w:rsid w:val="00B511BD"/>
    <w:rsid w:val="00B51451"/>
    <w:rsid w:val="00B51A23"/>
    <w:rsid w:val="00B523D4"/>
    <w:rsid w:val="00B525C8"/>
    <w:rsid w:val="00B52E73"/>
    <w:rsid w:val="00B52FAB"/>
    <w:rsid w:val="00B53021"/>
    <w:rsid w:val="00B53298"/>
    <w:rsid w:val="00B53787"/>
    <w:rsid w:val="00B537B0"/>
    <w:rsid w:val="00B53951"/>
    <w:rsid w:val="00B53E16"/>
    <w:rsid w:val="00B5451A"/>
    <w:rsid w:val="00B54520"/>
    <w:rsid w:val="00B54AFD"/>
    <w:rsid w:val="00B54D35"/>
    <w:rsid w:val="00B55362"/>
    <w:rsid w:val="00B55678"/>
    <w:rsid w:val="00B55704"/>
    <w:rsid w:val="00B560A4"/>
    <w:rsid w:val="00B572F3"/>
    <w:rsid w:val="00B5776E"/>
    <w:rsid w:val="00B578E5"/>
    <w:rsid w:val="00B57A2B"/>
    <w:rsid w:val="00B57D2F"/>
    <w:rsid w:val="00B60712"/>
    <w:rsid w:val="00B60CD4"/>
    <w:rsid w:val="00B60FE7"/>
    <w:rsid w:val="00B615F2"/>
    <w:rsid w:val="00B62489"/>
    <w:rsid w:val="00B62E48"/>
    <w:rsid w:val="00B62FF6"/>
    <w:rsid w:val="00B63009"/>
    <w:rsid w:val="00B63547"/>
    <w:rsid w:val="00B63AEE"/>
    <w:rsid w:val="00B642BC"/>
    <w:rsid w:val="00B65128"/>
    <w:rsid w:val="00B653FB"/>
    <w:rsid w:val="00B654A1"/>
    <w:rsid w:val="00B65589"/>
    <w:rsid w:val="00B65638"/>
    <w:rsid w:val="00B657D3"/>
    <w:rsid w:val="00B658B2"/>
    <w:rsid w:val="00B65A7C"/>
    <w:rsid w:val="00B65B50"/>
    <w:rsid w:val="00B663BE"/>
    <w:rsid w:val="00B663FF"/>
    <w:rsid w:val="00B66767"/>
    <w:rsid w:val="00B66C58"/>
    <w:rsid w:val="00B66D78"/>
    <w:rsid w:val="00B6752B"/>
    <w:rsid w:val="00B675ED"/>
    <w:rsid w:val="00B67648"/>
    <w:rsid w:val="00B67C02"/>
    <w:rsid w:val="00B67D2A"/>
    <w:rsid w:val="00B700BB"/>
    <w:rsid w:val="00B70446"/>
    <w:rsid w:val="00B70F34"/>
    <w:rsid w:val="00B71183"/>
    <w:rsid w:val="00B72C2D"/>
    <w:rsid w:val="00B7328D"/>
    <w:rsid w:val="00B73802"/>
    <w:rsid w:val="00B7401B"/>
    <w:rsid w:val="00B74108"/>
    <w:rsid w:val="00B74166"/>
    <w:rsid w:val="00B748C3"/>
    <w:rsid w:val="00B74F56"/>
    <w:rsid w:val="00B74FB4"/>
    <w:rsid w:val="00B75FA2"/>
    <w:rsid w:val="00B766A1"/>
    <w:rsid w:val="00B76982"/>
    <w:rsid w:val="00B76E60"/>
    <w:rsid w:val="00B771F2"/>
    <w:rsid w:val="00B80262"/>
    <w:rsid w:val="00B8052D"/>
    <w:rsid w:val="00B807A7"/>
    <w:rsid w:val="00B80B5F"/>
    <w:rsid w:val="00B80C4A"/>
    <w:rsid w:val="00B8189C"/>
    <w:rsid w:val="00B81ABC"/>
    <w:rsid w:val="00B81D38"/>
    <w:rsid w:val="00B8207D"/>
    <w:rsid w:val="00B8209C"/>
    <w:rsid w:val="00B82186"/>
    <w:rsid w:val="00B821EE"/>
    <w:rsid w:val="00B82BDB"/>
    <w:rsid w:val="00B82CBF"/>
    <w:rsid w:val="00B82F85"/>
    <w:rsid w:val="00B831E7"/>
    <w:rsid w:val="00B834FA"/>
    <w:rsid w:val="00B83AB5"/>
    <w:rsid w:val="00B83FD6"/>
    <w:rsid w:val="00B8419E"/>
    <w:rsid w:val="00B84629"/>
    <w:rsid w:val="00B848F9"/>
    <w:rsid w:val="00B84C74"/>
    <w:rsid w:val="00B853F9"/>
    <w:rsid w:val="00B85414"/>
    <w:rsid w:val="00B8562B"/>
    <w:rsid w:val="00B861EB"/>
    <w:rsid w:val="00B86E6E"/>
    <w:rsid w:val="00B873FE"/>
    <w:rsid w:val="00B8776D"/>
    <w:rsid w:val="00B87CA7"/>
    <w:rsid w:val="00B90410"/>
    <w:rsid w:val="00B90BEF"/>
    <w:rsid w:val="00B90C73"/>
    <w:rsid w:val="00B91100"/>
    <w:rsid w:val="00B912D9"/>
    <w:rsid w:val="00B91887"/>
    <w:rsid w:val="00B91A8B"/>
    <w:rsid w:val="00B91DCA"/>
    <w:rsid w:val="00B9234F"/>
    <w:rsid w:val="00B9257F"/>
    <w:rsid w:val="00B92A8C"/>
    <w:rsid w:val="00B93346"/>
    <w:rsid w:val="00B934B3"/>
    <w:rsid w:val="00B934C0"/>
    <w:rsid w:val="00B93555"/>
    <w:rsid w:val="00B9361F"/>
    <w:rsid w:val="00B93DB1"/>
    <w:rsid w:val="00B93E0F"/>
    <w:rsid w:val="00B942C2"/>
    <w:rsid w:val="00B94A5B"/>
    <w:rsid w:val="00B956D3"/>
    <w:rsid w:val="00B95A64"/>
    <w:rsid w:val="00B96003"/>
    <w:rsid w:val="00B962F6"/>
    <w:rsid w:val="00B964CB"/>
    <w:rsid w:val="00B96605"/>
    <w:rsid w:val="00B96850"/>
    <w:rsid w:val="00B9688E"/>
    <w:rsid w:val="00B97242"/>
    <w:rsid w:val="00B9753D"/>
    <w:rsid w:val="00B976D2"/>
    <w:rsid w:val="00B97710"/>
    <w:rsid w:val="00BA0478"/>
    <w:rsid w:val="00BA0802"/>
    <w:rsid w:val="00BA0970"/>
    <w:rsid w:val="00BA0A0B"/>
    <w:rsid w:val="00BA1181"/>
    <w:rsid w:val="00BA1240"/>
    <w:rsid w:val="00BA17E4"/>
    <w:rsid w:val="00BA18DF"/>
    <w:rsid w:val="00BA1907"/>
    <w:rsid w:val="00BA1D35"/>
    <w:rsid w:val="00BA1EEF"/>
    <w:rsid w:val="00BA2AAC"/>
    <w:rsid w:val="00BA2B8F"/>
    <w:rsid w:val="00BA2F88"/>
    <w:rsid w:val="00BA31BB"/>
    <w:rsid w:val="00BA31CF"/>
    <w:rsid w:val="00BA3273"/>
    <w:rsid w:val="00BA3333"/>
    <w:rsid w:val="00BA34EB"/>
    <w:rsid w:val="00BA3930"/>
    <w:rsid w:val="00BA39DA"/>
    <w:rsid w:val="00BA3C08"/>
    <w:rsid w:val="00BA3E10"/>
    <w:rsid w:val="00BA3FB2"/>
    <w:rsid w:val="00BA41FB"/>
    <w:rsid w:val="00BA431C"/>
    <w:rsid w:val="00BA48BF"/>
    <w:rsid w:val="00BA5CB6"/>
    <w:rsid w:val="00BA5D0A"/>
    <w:rsid w:val="00BA5E04"/>
    <w:rsid w:val="00BA5E5D"/>
    <w:rsid w:val="00BA5EF7"/>
    <w:rsid w:val="00BA5F9B"/>
    <w:rsid w:val="00BA6568"/>
    <w:rsid w:val="00BA6A9D"/>
    <w:rsid w:val="00BA74AB"/>
    <w:rsid w:val="00BA7F77"/>
    <w:rsid w:val="00BB0115"/>
    <w:rsid w:val="00BB02F7"/>
    <w:rsid w:val="00BB0340"/>
    <w:rsid w:val="00BB0374"/>
    <w:rsid w:val="00BB06A5"/>
    <w:rsid w:val="00BB0A51"/>
    <w:rsid w:val="00BB0CFC"/>
    <w:rsid w:val="00BB0EA9"/>
    <w:rsid w:val="00BB13B0"/>
    <w:rsid w:val="00BB17D3"/>
    <w:rsid w:val="00BB19C4"/>
    <w:rsid w:val="00BB1A38"/>
    <w:rsid w:val="00BB2346"/>
    <w:rsid w:val="00BB24F1"/>
    <w:rsid w:val="00BB2504"/>
    <w:rsid w:val="00BB27FF"/>
    <w:rsid w:val="00BB28C9"/>
    <w:rsid w:val="00BB35D3"/>
    <w:rsid w:val="00BB385F"/>
    <w:rsid w:val="00BB3E5F"/>
    <w:rsid w:val="00BB4406"/>
    <w:rsid w:val="00BB51AD"/>
    <w:rsid w:val="00BB520C"/>
    <w:rsid w:val="00BB53FF"/>
    <w:rsid w:val="00BB5514"/>
    <w:rsid w:val="00BB5B58"/>
    <w:rsid w:val="00BB6027"/>
    <w:rsid w:val="00BB6290"/>
    <w:rsid w:val="00BB6720"/>
    <w:rsid w:val="00BB6979"/>
    <w:rsid w:val="00BB6FBB"/>
    <w:rsid w:val="00BB709D"/>
    <w:rsid w:val="00BB75B7"/>
    <w:rsid w:val="00BB7A21"/>
    <w:rsid w:val="00BC0840"/>
    <w:rsid w:val="00BC0890"/>
    <w:rsid w:val="00BC166C"/>
    <w:rsid w:val="00BC1908"/>
    <w:rsid w:val="00BC1CE2"/>
    <w:rsid w:val="00BC1DD7"/>
    <w:rsid w:val="00BC201C"/>
    <w:rsid w:val="00BC215B"/>
    <w:rsid w:val="00BC21CB"/>
    <w:rsid w:val="00BC2E54"/>
    <w:rsid w:val="00BC3319"/>
    <w:rsid w:val="00BC3412"/>
    <w:rsid w:val="00BC35EA"/>
    <w:rsid w:val="00BC3623"/>
    <w:rsid w:val="00BC38D0"/>
    <w:rsid w:val="00BC3C8C"/>
    <w:rsid w:val="00BC4BFF"/>
    <w:rsid w:val="00BC4C48"/>
    <w:rsid w:val="00BC4F54"/>
    <w:rsid w:val="00BC505E"/>
    <w:rsid w:val="00BC5EBB"/>
    <w:rsid w:val="00BC6257"/>
    <w:rsid w:val="00BC6A04"/>
    <w:rsid w:val="00BC6A93"/>
    <w:rsid w:val="00BC6CC7"/>
    <w:rsid w:val="00BC7698"/>
    <w:rsid w:val="00BC7788"/>
    <w:rsid w:val="00BC7C99"/>
    <w:rsid w:val="00BD02EF"/>
    <w:rsid w:val="00BD03DB"/>
    <w:rsid w:val="00BD0445"/>
    <w:rsid w:val="00BD073E"/>
    <w:rsid w:val="00BD0935"/>
    <w:rsid w:val="00BD0BF5"/>
    <w:rsid w:val="00BD1ACA"/>
    <w:rsid w:val="00BD2601"/>
    <w:rsid w:val="00BD26B7"/>
    <w:rsid w:val="00BD2792"/>
    <w:rsid w:val="00BD2A70"/>
    <w:rsid w:val="00BD2A9F"/>
    <w:rsid w:val="00BD2CAE"/>
    <w:rsid w:val="00BD2D77"/>
    <w:rsid w:val="00BD3170"/>
    <w:rsid w:val="00BD33BB"/>
    <w:rsid w:val="00BD3C08"/>
    <w:rsid w:val="00BD4D33"/>
    <w:rsid w:val="00BD50E1"/>
    <w:rsid w:val="00BD52A8"/>
    <w:rsid w:val="00BD550C"/>
    <w:rsid w:val="00BD5735"/>
    <w:rsid w:val="00BD5ADE"/>
    <w:rsid w:val="00BD5C94"/>
    <w:rsid w:val="00BD5CB1"/>
    <w:rsid w:val="00BD5D09"/>
    <w:rsid w:val="00BD5ED4"/>
    <w:rsid w:val="00BD5F0D"/>
    <w:rsid w:val="00BD6293"/>
    <w:rsid w:val="00BD63C1"/>
    <w:rsid w:val="00BD6A65"/>
    <w:rsid w:val="00BD6A70"/>
    <w:rsid w:val="00BD7420"/>
    <w:rsid w:val="00BD74B3"/>
    <w:rsid w:val="00BD7A96"/>
    <w:rsid w:val="00BD7EED"/>
    <w:rsid w:val="00BE0412"/>
    <w:rsid w:val="00BE064D"/>
    <w:rsid w:val="00BE06B1"/>
    <w:rsid w:val="00BE09D8"/>
    <w:rsid w:val="00BE0BA7"/>
    <w:rsid w:val="00BE0D60"/>
    <w:rsid w:val="00BE0E92"/>
    <w:rsid w:val="00BE1214"/>
    <w:rsid w:val="00BE1547"/>
    <w:rsid w:val="00BE1A7B"/>
    <w:rsid w:val="00BE2714"/>
    <w:rsid w:val="00BE28C7"/>
    <w:rsid w:val="00BE2D1D"/>
    <w:rsid w:val="00BE2E15"/>
    <w:rsid w:val="00BE3105"/>
    <w:rsid w:val="00BE3A11"/>
    <w:rsid w:val="00BE4B23"/>
    <w:rsid w:val="00BE4BED"/>
    <w:rsid w:val="00BE4E3B"/>
    <w:rsid w:val="00BE5684"/>
    <w:rsid w:val="00BE59DD"/>
    <w:rsid w:val="00BE5B15"/>
    <w:rsid w:val="00BE5DEF"/>
    <w:rsid w:val="00BE6335"/>
    <w:rsid w:val="00BE6475"/>
    <w:rsid w:val="00BE65C9"/>
    <w:rsid w:val="00BE69EB"/>
    <w:rsid w:val="00BE6C51"/>
    <w:rsid w:val="00BE7404"/>
    <w:rsid w:val="00BE7B11"/>
    <w:rsid w:val="00BE7FA9"/>
    <w:rsid w:val="00BF081F"/>
    <w:rsid w:val="00BF0A43"/>
    <w:rsid w:val="00BF0C9D"/>
    <w:rsid w:val="00BF1554"/>
    <w:rsid w:val="00BF1C5A"/>
    <w:rsid w:val="00BF2058"/>
    <w:rsid w:val="00BF3AF4"/>
    <w:rsid w:val="00BF3E14"/>
    <w:rsid w:val="00BF429B"/>
    <w:rsid w:val="00BF45A9"/>
    <w:rsid w:val="00BF51A5"/>
    <w:rsid w:val="00BF5204"/>
    <w:rsid w:val="00BF5A9F"/>
    <w:rsid w:val="00BF5E4E"/>
    <w:rsid w:val="00BF6168"/>
    <w:rsid w:val="00BF63A0"/>
    <w:rsid w:val="00BF6560"/>
    <w:rsid w:val="00BF6DDB"/>
    <w:rsid w:val="00BF74D9"/>
    <w:rsid w:val="00BF795D"/>
    <w:rsid w:val="00BF7A8C"/>
    <w:rsid w:val="00BF7C61"/>
    <w:rsid w:val="00C00216"/>
    <w:rsid w:val="00C00550"/>
    <w:rsid w:val="00C00619"/>
    <w:rsid w:val="00C00AD0"/>
    <w:rsid w:val="00C00B1B"/>
    <w:rsid w:val="00C00B33"/>
    <w:rsid w:val="00C00C61"/>
    <w:rsid w:val="00C00EF7"/>
    <w:rsid w:val="00C00F7F"/>
    <w:rsid w:val="00C01098"/>
    <w:rsid w:val="00C0111A"/>
    <w:rsid w:val="00C01439"/>
    <w:rsid w:val="00C02F29"/>
    <w:rsid w:val="00C0325F"/>
    <w:rsid w:val="00C034A6"/>
    <w:rsid w:val="00C034F7"/>
    <w:rsid w:val="00C0351A"/>
    <w:rsid w:val="00C03E12"/>
    <w:rsid w:val="00C03F99"/>
    <w:rsid w:val="00C04A8C"/>
    <w:rsid w:val="00C04C37"/>
    <w:rsid w:val="00C04DC1"/>
    <w:rsid w:val="00C04F5E"/>
    <w:rsid w:val="00C0531A"/>
    <w:rsid w:val="00C0536C"/>
    <w:rsid w:val="00C05A5E"/>
    <w:rsid w:val="00C05FB3"/>
    <w:rsid w:val="00C06C49"/>
    <w:rsid w:val="00C06E88"/>
    <w:rsid w:val="00C07BE2"/>
    <w:rsid w:val="00C07C85"/>
    <w:rsid w:val="00C107D3"/>
    <w:rsid w:val="00C10B54"/>
    <w:rsid w:val="00C10DA1"/>
    <w:rsid w:val="00C10DD7"/>
    <w:rsid w:val="00C112E3"/>
    <w:rsid w:val="00C1136F"/>
    <w:rsid w:val="00C113ED"/>
    <w:rsid w:val="00C118C4"/>
    <w:rsid w:val="00C118EB"/>
    <w:rsid w:val="00C11FFB"/>
    <w:rsid w:val="00C12252"/>
    <w:rsid w:val="00C123E4"/>
    <w:rsid w:val="00C124E3"/>
    <w:rsid w:val="00C12518"/>
    <w:rsid w:val="00C128F5"/>
    <w:rsid w:val="00C12ACC"/>
    <w:rsid w:val="00C12CDB"/>
    <w:rsid w:val="00C12DB8"/>
    <w:rsid w:val="00C12DD4"/>
    <w:rsid w:val="00C12E05"/>
    <w:rsid w:val="00C12EDA"/>
    <w:rsid w:val="00C13B57"/>
    <w:rsid w:val="00C14680"/>
    <w:rsid w:val="00C149F8"/>
    <w:rsid w:val="00C155F2"/>
    <w:rsid w:val="00C1593F"/>
    <w:rsid w:val="00C1594F"/>
    <w:rsid w:val="00C15A58"/>
    <w:rsid w:val="00C15FA6"/>
    <w:rsid w:val="00C16161"/>
    <w:rsid w:val="00C16175"/>
    <w:rsid w:val="00C162F7"/>
    <w:rsid w:val="00C16346"/>
    <w:rsid w:val="00C16C28"/>
    <w:rsid w:val="00C16F33"/>
    <w:rsid w:val="00C17199"/>
    <w:rsid w:val="00C17244"/>
    <w:rsid w:val="00C17E9E"/>
    <w:rsid w:val="00C203E0"/>
    <w:rsid w:val="00C20812"/>
    <w:rsid w:val="00C2081D"/>
    <w:rsid w:val="00C20C9E"/>
    <w:rsid w:val="00C20FE1"/>
    <w:rsid w:val="00C2134B"/>
    <w:rsid w:val="00C21AD6"/>
    <w:rsid w:val="00C2208E"/>
    <w:rsid w:val="00C2244C"/>
    <w:rsid w:val="00C22BAB"/>
    <w:rsid w:val="00C22E56"/>
    <w:rsid w:val="00C23312"/>
    <w:rsid w:val="00C236A9"/>
    <w:rsid w:val="00C23F7A"/>
    <w:rsid w:val="00C241AB"/>
    <w:rsid w:val="00C24442"/>
    <w:rsid w:val="00C244FF"/>
    <w:rsid w:val="00C2461A"/>
    <w:rsid w:val="00C2504C"/>
    <w:rsid w:val="00C2589E"/>
    <w:rsid w:val="00C262E9"/>
    <w:rsid w:val="00C2678A"/>
    <w:rsid w:val="00C26A7F"/>
    <w:rsid w:val="00C26AEB"/>
    <w:rsid w:val="00C274BB"/>
    <w:rsid w:val="00C27529"/>
    <w:rsid w:val="00C3064C"/>
    <w:rsid w:val="00C30663"/>
    <w:rsid w:val="00C3079D"/>
    <w:rsid w:val="00C30917"/>
    <w:rsid w:val="00C311B2"/>
    <w:rsid w:val="00C313F7"/>
    <w:rsid w:val="00C314CD"/>
    <w:rsid w:val="00C31588"/>
    <w:rsid w:val="00C31EE6"/>
    <w:rsid w:val="00C31F47"/>
    <w:rsid w:val="00C323A4"/>
    <w:rsid w:val="00C335F7"/>
    <w:rsid w:val="00C338F8"/>
    <w:rsid w:val="00C33A27"/>
    <w:rsid w:val="00C35214"/>
    <w:rsid w:val="00C35475"/>
    <w:rsid w:val="00C35565"/>
    <w:rsid w:val="00C35E7C"/>
    <w:rsid w:val="00C36218"/>
    <w:rsid w:val="00C36930"/>
    <w:rsid w:val="00C36E96"/>
    <w:rsid w:val="00C378E8"/>
    <w:rsid w:val="00C37F50"/>
    <w:rsid w:val="00C40CCB"/>
    <w:rsid w:val="00C40DCF"/>
    <w:rsid w:val="00C4100F"/>
    <w:rsid w:val="00C41205"/>
    <w:rsid w:val="00C4120A"/>
    <w:rsid w:val="00C4193E"/>
    <w:rsid w:val="00C41E40"/>
    <w:rsid w:val="00C41EAB"/>
    <w:rsid w:val="00C41F3F"/>
    <w:rsid w:val="00C427B8"/>
    <w:rsid w:val="00C42A64"/>
    <w:rsid w:val="00C42B38"/>
    <w:rsid w:val="00C42CBE"/>
    <w:rsid w:val="00C42D4C"/>
    <w:rsid w:val="00C4345D"/>
    <w:rsid w:val="00C440D3"/>
    <w:rsid w:val="00C4414D"/>
    <w:rsid w:val="00C4453A"/>
    <w:rsid w:val="00C44919"/>
    <w:rsid w:val="00C45700"/>
    <w:rsid w:val="00C4597E"/>
    <w:rsid w:val="00C45E34"/>
    <w:rsid w:val="00C46302"/>
    <w:rsid w:val="00C46305"/>
    <w:rsid w:val="00C468BD"/>
    <w:rsid w:val="00C468C6"/>
    <w:rsid w:val="00C46A25"/>
    <w:rsid w:val="00C46EC2"/>
    <w:rsid w:val="00C473FD"/>
    <w:rsid w:val="00C47953"/>
    <w:rsid w:val="00C47A30"/>
    <w:rsid w:val="00C47F38"/>
    <w:rsid w:val="00C5002E"/>
    <w:rsid w:val="00C500CD"/>
    <w:rsid w:val="00C5012A"/>
    <w:rsid w:val="00C50150"/>
    <w:rsid w:val="00C5063B"/>
    <w:rsid w:val="00C50A17"/>
    <w:rsid w:val="00C50E5F"/>
    <w:rsid w:val="00C5109E"/>
    <w:rsid w:val="00C51537"/>
    <w:rsid w:val="00C51A88"/>
    <w:rsid w:val="00C51B37"/>
    <w:rsid w:val="00C51B3D"/>
    <w:rsid w:val="00C51BAD"/>
    <w:rsid w:val="00C527C2"/>
    <w:rsid w:val="00C52867"/>
    <w:rsid w:val="00C52AA7"/>
    <w:rsid w:val="00C536DF"/>
    <w:rsid w:val="00C5386F"/>
    <w:rsid w:val="00C54115"/>
    <w:rsid w:val="00C54584"/>
    <w:rsid w:val="00C5486A"/>
    <w:rsid w:val="00C5500D"/>
    <w:rsid w:val="00C55A78"/>
    <w:rsid w:val="00C55A94"/>
    <w:rsid w:val="00C55EF6"/>
    <w:rsid w:val="00C55FCC"/>
    <w:rsid w:val="00C5671A"/>
    <w:rsid w:val="00C569E6"/>
    <w:rsid w:val="00C56CF6"/>
    <w:rsid w:val="00C57065"/>
    <w:rsid w:val="00C572C7"/>
    <w:rsid w:val="00C57615"/>
    <w:rsid w:val="00C57A84"/>
    <w:rsid w:val="00C57F85"/>
    <w:rsid w:val="00C603C2"/>
    <w:rsid w:val="00C60614"/>
    <w:rsid w:val="00C60A07"/>
    <w:rsid w:val="00C60CC3"/>
    <w:rsid w:val="00C60E59"/>
    <w:rsid w:val="00C60EDF"/>
    <w:rsid w:val="00C612AE"/>
    <w:rsid w:val="00C613A2"/>
    <w:rsid w:val="00C61799"/>
    <w:rsid w:val="00C617A6"/>
    <w:rsid w:val="00C61B92"/>
    <w:rsid w:val="00C61DC8"/>
    <w:rsid w:val="00C622D7"/>
    <w:rsid w:val="00C6256D"/>
    <w:rsid w:val="00C626D0"/>
    <w:rsid w:val="00C626E2"/>
    <w:rsid w:val="00C62AE7"/>
    <w:rsid w:val="00C62CFB"/>
    <w:rsid w:val="00C630BB"/>
    <w:rsid w:val="00C632F2"/>
    <w:rsid w:val="00C63333"/>
    <w:rsid w:val="00C6369C"/>
    <w:rsid w:val="00C63AD9"/>
    <w:rsid w:val="00C63FBE"/>
    <w:rsid w:val="00C64C66"/>
    <w:rsid w:val="00C656CB"/>
    <w:rsid w:val="00C662BC"/>
    <w:rsid w:val="00C66427"/>
    <w:rsid w:val="00C666D3"/>
    <w:rsid w:val="00C66FBC"/>
    <w:rsid w:val="00C67219"/>
    <w:rsid w:val="00C67884"/>
    <w:rsid w:val="00C67C54"/>
    <w:rsid w:val="00C67DF3"/>
    <w:rsid w:val="00C67E71"/>
    <w:rsid w:val="00C70265"/>
    <w:rsid w:val="00C70B25"/>
    <w:rsid w:val="00C70BAD"/>
    <w:rsid w:val="00C70E2E"/>
    <w:rsid w:val="00C70FEF"/>
    <w:rsid w:val="00C7100D"/>
    <w:rsid w:val="00C7101E"/>
    <w:rsid w:val="00C7103A"/>
    <w:rsid w:val="00C7164C"/>
    <w:rsid w:val="00C71D5D"/>
    <w:rsid w:val="00C72022"/>
    <w:rsid w:val="00C726E6"/>
    <w:rsid w:val="00C72BBE"/>
    <w:rsid w:val="00C72C65"/>
    <w:rsid w:val="00C73236"/>
    <w:rsid w:val="00C734BA"/>
    <w:rsid w:val="00C7404D"/>
    <w:rsid w:val="00C74122"/>
    <w:rsid w:val="00C753F9"/>
    <w:rsid w:val="00C75676"/>
    <w:rsid w:val="00C7593E"/>
    <w:rsid w:val="00C76466"/>
    <w:rsid w:val="00C7674C"/>
    <w:rsid w:val="00C76BFD"/>
    <w:rsid w:val="00C77AD7"/>
    <w:rsid w:val="00C77CCD"/>
    <w:rsid w:val="00C80240"/>
    <w:rsid w:val="00C805A3"/>
    <w:rsid w:val="00C80D5A"/>
    <w:rsid w:val="00C80D81"/>
    <w:rsid w:val="00C80EDB"/>
    <w:rsid w:val="00C8122C"/>
    <w:rsid w:val="00C81251"/>
    <w:rsid w:val="00C812DA"/>
    <w:rsid w:val="00C82815"/>
    <w:rsid w:val="00C828C3"/>
    <w:rsid w:val="00C82A3F"/>
    <w:rsid w:val="00C82B04"/>
    <w:rsid w:val="00C82C28"/>
    <w:rsid w:val="00C82F69"/>
    <w:rsid w:val="00C83BEF"/>
    <w:rsid w:val="00C83EBC"/>
    <w:rsid w:val="00C83FCB"/>
    <w:rsid w:val="00C84759"/>
    <w:rsid w:val="00C84C39"/>
    <w:rsid w:val="00C84CC6"/>
    <w:rsid w:val="00C85723"/>
    <w:rsid w:val="00C86112"/>
    <w:rsid w:val="00C86723"/>
    <w:rsid w:val="00C867C9"/>
    <w:rsid w:val="00C86DCC"/>
    <w:rsid w:val="00C86E1B"/>
    <w:rsid w:val="00C86E58"/>
    <w:rsid w:val="00C87280"/>
    <w:rsid w:val="00C872A0"/>
    <w:rsid w:val="00C87362"/>
    <w:rsid w:val="00C8736B"/>
    <w:rsid w:val="00C8755F"/>
    <w:rsid w:val="00C87817"/>
    <w:rsid w:val="00C87A81"/>
    <w:rsid w:val="00C87DD2"/>
    <w:rsid w:val="00C901D0"/>
    <w:rsid w:val="00C904CE"/>
    <w:rsid w:val="00C90B3D"/>
    <w:rsid w:val="00C912AA"/>
    <w:rsid w:val="00C918B7"/>
    <w:rsid w:val="00C92329"/>
    <w:rsid w:val="00C92463"/>
    <w:rsid w:val="00C926CF"/>
    <w:rsid w:val="00C92775"/>
    <w:rsid w:val="00C92B73"/>
    <w:rsid w:val="00C92E50"/>
    <w:rsid w:val="00C931A9"/>
    <w:rsid w:val="00C93290"/>
    <w:rsid w:val="00C9342E"/>
    <w:rsid w:val="00C934BB"/>
    <w:rsid w:val="00C9379F"/>
    <w:rsid w:val="00C93FA3"/>
    <w:rsid w:val="00C940A0"/>
    <w:rsid w:val="00C940E8"/>
    <w:rsid w:val="00C94285"/>
    <w:rsid w:val="00C94685"/>
    <w:rsid w:val="00C94BB5"/>
    <w:rsid w:val="00C95FD0"/>
    <w:rsid w:val="00C9644E"/>
    <w:rsid w:val="00C96BC9"/>
    <w:rsid w:val="00C97D5F"/>
    <w:rsid w:val="00C97F09"/>
    <w:rsid w:val="00CA01AE"/>
    <w:rsid w:val="00CA045B"/>
    <w:rsid w:val="00CA072D"/>
    <w:rsid w:val="00CA078F"/>
    <w:rsid w:val="00CA0B5F"/>
    <w:rsid w:val="00CA0C14"/>
    <w:rsid w:val="00CA0C19"/>
    <w:rsid w:val="00CA0C4F"/>
    <w:rsid w:val="00CA0FF5"/>
    <w:rsid w:val="00CA134D"/>
    <w:rsid w:val="00CA1A27"/>
    <w:rsid w:val="00CA2544"/>
    <w:rsid w:val="00CA2597"/>
    <w:rsid w:val="00CA29E4"/>
    <w:rsid w:val="00CA2DFE"/>
    <w:rsid w:val="00CA2F13"/>
    <w:rsid w:val="00CA33BD"/>
    <w:rsid w:val="00CA3430"/>
    <w:rsid w:val="00CA376B"/>
    <w:rsid w:val="00CA4302"/>
    <w:rsid w:val="00CA44FB"/>
    <w:rsid w:val="00CA45C4"/>
    <w:rsid w:val="00CA55ED"/>
    <w:rsid w:val="00CA5647"/>
    <w:rsid w:val="00CA5D59"/>
    <w:rsid w:val="00CA6356"/>
    <w:rsid w:val="00CA6562"/>
    <w:rsid w:val="00CA795D"/>
    <w:rsid w:val="00CA7FD6"/>
    <w:rsid w:val="00CB0305"/>
    <w:rsid w:val="00CB03F6"/>
    <w:rsid w:val="00CB0BCF"/>
    <w:rsid w:val="00CB0D2F"/>
    <w:rsid w:val="00CB1B7B"/>
    <w:rsid w:val="00CB1C36"/>
    <w:rsid w:val="00CB1D51"/>
    <w:rsid w:val="00CB1F8B"/>
    <w:rsid w:val="00CB2104"/>
    <w:rsid w:val="00CB21E3"/>
    <w:rsid w:val="00CB2905"/>
    <w:rsid w:val="00CB29C3"/>
    <w:rsid w:val="00CB2C39"/>
    <w:rsid w:val="00CB378C"/>
    <w:rsid w:val="00CB3D2C"/>
    <w:rsid w:val="00CB3FE2"/>
    <w:rsid w:val="00CB452A"/>
    <w:rsid w:val="00CB4A56"/>
    <w:rsid w:val="00CB4B8E"/>
    <w:rsid w:val="00CB5147"/>
    <w:rsid w:val="00CB540F"/>
    <w:rsid w:val="00CB5C34"/>
    <w:rsid w:val="00CB60DD"/>
    <w:rsid w:val="00CB6361"/>
    <w:rsid w:val="00CB63B8"/>
    <w:rsid w:val="00CB656C"/>
    <w:rsid w:val="00CB6993"/>
    <w:rsid w:val="00CB75CE"/>
    <w:rsid w:val="00CB784B"/>
    <w:rsid w:val="00CB7BF7"/>
    <w:rsid w:val="00CC0432"/>
    <w:rsid w:val="00CC06BA"/>
    <w:rsid w:val="00CC0878"/>
    <w:rsid w:val="00CC096D"/>
    <w:rsid w:val="00CC0AFE"/>
    <w:rsid w:val="00CC0C19"/>
    <w:rsid w:val="00CC0D69"/>
    <w:rsid w:val="00CC0ECE"/>
    <w:rsid w:val="00CC0FD4"/>
    <w:rsid w:val="00CC19BE"/>
    <w:rsid w:val="00CC1E52"/>
    <w:rsid w:val="00CC2035"/>
    <w:rsid w:val="00CC2294"/>
    <w:rsid w:val="00CC252B"/>
    <w:rsid w:val="00CC31CA"/>
    <w:rsid w:val="00CC3AD6"/>
    <w:rsid w:val="00CC3D0F"/>
    <w:rsid w:val="00CC3D7F"/>
    <w:rsid w:val="00CC42B0"/>
    <w:rsid w:val="00CC43D1"/>
    <w:rsid w:val="00CC4DC3"/>
    <w:rsid w:val="00CC4F8C"/>
    <w:rsid w:val="00CC6584"/>
    <w:rsid w:val="00CC66AC"/>
    <w:rsid w:val="00CC6881"/>
    <w:rsid w:val="00CC731C"/>
    <w:rsid w:val="00CD00ED"/>
    <w:rsid w:val="00CD060D"/>
    <w:rsid w:val="00CD0A09"/>
    <w:rsid w:val="00CD15B2"/>
    <w:rsid w:val="00CD1FC5"/>
    <w:rsid w:val="00CD2057"/>
    <w:rsid w:val="00CD2528"/>
    <w:rsid w:val="00CD258F"/>
    <w:rsid w:val="00CD2705"/>
    <w:rsid w:val="00CD2751"/>
    <w:rsid w:val="00CD27A0"/>
    <w:rsid w:val="00CD28C8"/>
    <w:rsid w:val="00CD3176"/>
    <w:rsid w:val="00CD3B61"/>
    <w:rsid w:val="00CD4452"/>
    <w:rsid w:val="00CD49B7"/>
    <w:rsid w:val="00CD4A7B"/>
    <w:rsid w:val="00CD4BEE"/>
    <w:rsid w:val="00CD54C9"/>
    <w:rsid w:val="00CD5F11"/>
    <w:rsid w:val="00CD6BF3"/>
    <w:rsid w:val="00CD6E52"/>
    <w:rsid w:val="00CD6EBF"/>
    <w:rsid w:val="00CD6ED2"/>
    <w:rsid w:val="00CD717A"/>
    <w:rsid w:val="00CD730D"/>
    <w:rsid w:val="00CD7743"/>
    <w:rsid w:val="00CD782A"/>
    <w:rsid w:val="00CD7CDE"/>
    <w:rsid w:val="00CD7FC9"/>
    <w:rsid w:val="00CE0065"/>
    <w:rsid w:val="00CE01EA"/>
    <w:rsid w:val="00CE0BD0"/>
    <w:rsid w:val="00CE0C45"/>
    <w:rsid w:val="00CE0CEB"/>
    <w:rsid w:val="00CE0E05"/>
    <w:rsid w:val="00CE13B9"/>
    <w:rsid w:val="00CE1A6D"/>
    <w:rsid w:val="00CE2BF8"/>
    <w:rsid w:val="00CE34E6"/>
    <w:rsid w:val="00CE3DF6"/>
    <w:rsid w:val="00CE4094"/>
    <w:rsid w:val="00CE4D9E"/>
    <w:rsid w:val="00CE540C"/>
    <w:rsid w:val="00CE56BD"/>
    <w:rsid w:val="00CE58F4"/>
    <w:rsid w:val="00CE5C50"/>
    <w:rsid w:val="00CE6069"/>
    <w:rsid w:val="00CE7124"/>
    <w:rsid w:val="00CE7808"/>
    <w:rsid w:val="00CE7F11"/>
    <w:rsid w:val="00CF0865"/>
    <w:rsid w:val="00CF0AEC"/>
    <w:rsid w:val="00CF0EF4"/>
    <w:rsid w:val="00CF1285"/>
    <w:rsid w:val="00CF1855"/>
    <w:rsid w:val="00CF1917"/>
    <w:rsid w:val="00CF1E45"/>
    <w:rsid w:val="00CF1F23"/>
    <w:rsid w:val="00CF23F7"/>
    <w:rsid w:val="00CF3034"/>
    <w:rsid w:val="00CF3423"/>
    <w:rsid w:val="00CF368E"/>
    <w:rsid w:val="00CF3AEF"/>
    <w:rsid w:val="00CF3C62"/>
    <w:rsid w:val="00CF3D80"/>
    <w:rsid w:val="00CF404D"/>
    <w:rsid w:val="00CF44C0"/>
    <w:rsid w:val="00CF477B"/>
    <w:rsid w:val="00CF4886"/>
    <w:rsid w:val="00CF5143"/>
    <w:rsid w:val="00CF5868"/>
    <w:rsid w:val="00CF5E3E"/>
    <w:rsid w:val="00CF6FBB"/>
    <w:rsid w:val="00CF70DA"/>
    <w:rsid w:val="00CF7FA1"/>
    <w:rsid w:val="00D008DF"/>
    <w:rsid w:val="00D00F28"/>
    <w:rsid w:val="00D01188"/>
    <w:rsid w:val="00D01392"/>
    <w:rsid w:val="00D017CF"/>
    <w:rsid w:val="00D01831"/>
    <w:rsid w:val="00D018FD"/>
    <w:rsid w:val="00D01C38"/>
    <w:rsid w:val="00D0254E"/>
    <w:rsid w:val="00D02664"/>
    <w:rsid w:val="00D02A79"/>
    <w:rsid w:val="00D02E4E"/>
    <w:rsid w:val="00D03515"/>
    <w:rsid w:val="00D035C0"/>
    <w:rsid w:val="00D03DC9"/>
    <w:rsid w:val="00D03E77"/>
    <w:rsid w:val="00D0406C"/>
    <w:rsid w:val="00D045F1"/>
    <w:rsid w:val="00D052A4"/>
    <w:rsid w:val="00D0533D"/>
    <w:rsid w:val="00D0540D"/>
    <w:rsid w:val="00D05639"/>
    <w:rsid w:val="00D0567E"/>
    <w:rsid w:val="00D05907"/>
    <w:rsid w:val="00D059A4"/>
    <w:rsid w:val="00D05D95"/>
    <w:rsid w:val="00D05E52"/>
    <w:rsid w:val="00D062B7"/>
    <w:rsid w:val="00D0685A"/>
    <w:rsid w:val="00D071B1"/>
    <w:rsid w:val="00D07469"/>
    <w:rsid w:val="00D076A2"/>
    <w:rsid w:val="00D07BBD"/>
    <w:rsid w:val="00D104D7"/>
    <w:rsid w:val="00D10535"/>
    <w:rsid w:val="00D1069E"/>
    <w:rsid w:val="00D10BC7"/>
    <w:rsid w:val="00D10CC1"/>
    <w:rsid w:val="00D10DE3"/>
    <w:rsid w:val="00D1168F"/>
    <w:rsid w:val="00D11C95"/>
    <w:rsid w:val="00D11CD9"/>
    <w:rsid w:val="00D11D0E"/>
    <w:rsid w:val="00D12605"/>
    <w:rsid w:val="00D126EA"/>
    <w:rsid w:val="00D12E51"/>
    <w:rsid w:val="00D132FC"/>
    <w:rsid w:val="00D13B08"/>
    <w:rsid w:val="00D13B1C"/>
    <w:rsid w:val="00D14534"/>
    <w:rsid w:val="00D1489C"/>
    <w:rsid w:val="00D148DA"/>
    <w:rsid w:val="00D14B06"/>
    <w:rsid w:val="00D14B79"/>
    <w:rsid w:val="00D14D48"/>
    <w:rsid w:val="00D14F83"/>
    <w:rsid w:val="00D151DF"/>
    <w:rsid w:val="00D15600"/>
    <w:rsid w:val="00D158F0"/>
    <w:rsid w:val="00D15E26"/>
    <w:rsid w:val="00D1607E"/>
    <w:rsid w:val="00D16323"/>
    <w:rsid w:val="00D16705"/>
    <w:rsid w:val="00D16B80"/>
    <w:rsid w:val="00D16E4D"/>
    <w:rsid w:val="00D17260"/>
    <w:rsid w:val="00D1756D"/>
    <w:rsid w:val="00D178EA"/>
    <w:rsid w:val="00D17D02"/>
    <w:rsid w:val="00D17FB1"/>
    <w:rsid w:val="00D20211"/>
    <w:rsid w:val="00D20592"/>
    <w:rsid w:val="00D20803"/>
    <w:rsid w:val="00D2096C"/>
    <w:rsid w:val="00D2152C"/>
    <w:rsid w:val="00D215CD"/>
    <w:rsid w:val="00D21B11"/>
    <w:rsid w:val="00D21B1E"/>
    <w:rsid w:val="00D2275D"/>
    <w:rsid w:val="00D229B0"/>
    <w:rsid w:val="00D22A0B"/>
    <w:rsid w:val="00D230A3"/>
    <w:rsid w:val="00D23298"/>
    <w:rsid w:val="00D2366C"/>
    <w:rsid w:val="00D23870"/>
    <w:rsid w:val="00D24700"/>
    <w:rsid w:val="00D247E8"/>
    <w:rsid w:val="00D2491E"/>
    <w:rsid w:val="00D24A35"/>
    <w:rsid w:val="00D24FCA"/>
    <w:rsid w:val="00D250CC"/>
    <w:rsid w:val="00D265E1"/>
    <w:rsid w:val="00D2670D"/>
    <w:rsid w:val="00D267A4"/>
    <w:rsid w:val="00D267F7"/>
    <w:rsid w:val="00D2683A"/>
    <w:rsid w:val="00D271E1"/>
    <w:rsid w:val="00D27324"/>
    <w:rsid w:val="00D27993"/>
    <w:rsid w:val="00D27D6C"/>
    <w:rsid w:val="00D302E1"/>
    <w:rsid w:val="00D3032B"/>
    <w:rsid w:val="00D30452"/>
    <w:rsid w:val="00D3056E"/>
    <w:rsid w:val="00D30781"/>
    <w:rsid w:val="00D30D5C"/>
    <w:rsid w:val="00D30F1F"/>
    <w:rsid w:val="00D31456"/>
    <w:rsid w:val="00D31735"/>
    <w:rsid w:val="00D31E3C"/>
    <w:rsid w:val="00D323DB"/>
    <w:rsid w:val="00D326C2"/>
    <w:rsid w:val="00D32976"/>
    <w:rsid w:val="00D33272"/>
    <w:rsid w:val="00D33481"/>
    <w:rsid w:val="00D3356E"/>
    <w:rsid w:val="00D335A2"/>
    <w:rsid w:val="00D33E97"/>
    <w:rsid w:val="00D3431C"/>
    <w:rsid w:val="00D34493"/>
    <w:rsid w:val="00D345E7"/>
    <w:rsid w:val="00D34900"/>
    <w:rsid w:val="00D35362"/>
    <w:rsid w:val="00D362D8"/>
    <w:rsid w:val="00D365A0"/>
    <w:rsid w:val="00D36706"/>
    <w:rsid w:val="00D36D6F"/>
    <w:rsid w:val="00D36ED2"/>
    <w:rsid w:val="00D378C9"/>
    <w:rsid w:val="00D37BFE"/>
    <w:rsid w:val="00D4023A"/>
    <w:rsid w:val="00D40370"/>
    <w:rsid w:val="00D40456"/>
    <w:rsid w:val="00D40D57"/>
    <w:rsid w:val="00D40F17"/>
    <w:rsid w:val="00D40FA7"/>
    <w:rsid w:val="00D412BE"/>
    <w:rsid w:val="00D41746"/>
    <w:rsid w:val="00D421ED"/>
    <w:rsid w:val="00D42A2C"/>
    <w:rsid w:val="00D42AA2"/>
    <w:rsid w:val="00D4327E"/>
    <w:rsid w:val="00D43360"/>
    <w:rsid w:val="00D44465"/>
    <w:rsid w:val="00D44642"/>
    <w:rsid w:val="00D44697"/>
    <w:rsid w:val="00D44999"/>
    <w:rsid w:val="00D44B95"/>
    <w:rsid w:val="00D452A6"/>
    <w:rsid w:val="00D459D1"/>
    <w:rsid w:val="00D45BB0"/>
    <w:rsid w:val="00D45C6B"/>
    <w:rsid w:val="00D45CFA"/>
    <w:rsid w:val="00D460A4"/>
    <w:rsid w:val="00D462A7"/>
    <w:rsid w:val="00D4733C"/>
    <w:rsid w:val="00D47706"/>
    <w:rsid w:val="00D478C8"/>
    <w:rsid w:val="00D47B94"/>
    <w:rsid w:val="00D47E78"/>
    <w:rsid w:val="00D50758"/>
    <w:rsid w:val="00D5122D"/>
    <w:rsid w:val="00D51B0C"/>
    <w:rsid w:val="00D51BC0"/>
    <w:rsid w:val="00D52320"/>
    <w:rsid w:val="00D524D4"/>
    <w:rsid w:val="00D5263B"/>
    <w:rsid w:val="00D53210"/>
    <w:rsid w:val="00D539D9"/>
    <w:rsid w:val="00D53C13"/>
    <w:rsid w:val="00D53CD6"/>
    <w:rsid w:val="00D5428F"/>
    <w:rsid w:val="00D5461A"/>
    <w:rsid w:val="00D54967"/>
    <w:rsid w:val="00D54B24"/>
    <w:rsid w:val="00D54BE1"/>
    <w:rsid w:val="00D54E59"/>
    <w:rsid w:val="00D56A68"/>
    <w:rsid w:val="00D57572"/>
    <w:rsid w:val="00D57BCF"/>
    <w:rsid w:val="00D60063"/>
    <w:rsid w:val="00D6053F"/>
    <w:rsid w:val="00D60640"/>
    <w:rsid w:val="00D60A62"/>
    <w:rsid w:val="00D61331"/>
    <w:rsid w:val="00D6134F"/>
    <w:rsid w:val="00D61C9F"/>
    <w:rsid w:val="00D61D9A"/>
    <w:rsid w:val="00D61FC1"/>
    <w:rsid w:val="00D62B51"/>
    <w:rsid w:val="00D63607"/>
    <w:rsid w:val="00D63B60"/>
    <w:rsid w:val="00D63E45"/>
    <w:rsid w:val="00D64313"/>
    <w:rsid w:val="00D64870"/>
    <w:rsid w:val="00D648A0"/>
    <w:rsid w:val="00D64BC3"/>
    <w:rsid w:val="00D64C24"/>
    <w:rsid w:val="00D64D81"/>
    <w:rsid w:val="00D64E3E"/>
    <w:rsid w:val="00D6544A"/>
    <w:rsid w:val="00D65F3D"/>
    <w:rsid w:val="00D66827"/>
    <w:rsid w:val="00D66DE6"/>
    <w:rsid w:val="00D674BC"/>
    <w:rsid w:val="00D6781E"/>
    <w:rsid w:val="00D67A02"/>
    <w:rsid w:val="00D67B03"/>
    <w:rsid w:val="00D67CF7"/>
    <w:rsid w:val="00D67D9C"/>
    <w:rsid w:val="00D67E7D"/>
    <w:rsid w:val="00D70339"/>
    <w:rsid w:val="00D703C3"/>
    <w:rsid w:val="00D70871"/>
    <w:rsid w:val="00D70AAC"/>
    <w:rsid w:val="00D70C0A"/>
    <w:rsid w:val="00D70D06"/>
    <w:rsid w:val="00D71677"/>
    <w:rsid w:val="00D71807"/>
    <w:rsid w:val="00D71928"/>
    <w:rsid w:val="00D71F09"/>
    <w:rsid w:val="00D72982"/>
    <w:rsid w:val="00D72A0D"/>
    <w:rsid w:val="00D72FFB"/>
    <w:rsid w:val="00D733CA"/>
    <w:rsid w:val="00D735AD"/>
    <w:rsid w:val="00D73BCC"/>
    <w:rsid w:val="00D73D5B"/>
    <w:rsid w:val="00D7439A"/>
    <w:rsid w:val="00D746F5"/>
    <w:rsid w:val="00D74E0C"/>
    <w:rsid w:val="00D756AE"/>
    <w:rsid w:val="00D75A52"/>
    <w:rsid w:val="00D75DE1"/>
    <w:rsid w:val="00D75F8B"/>
    <w:rsid w:val="00D8000C"/>
    <w:rsid w:val="00D800CE"/>
    <w:rsid w:val="00D803AF"/>
    <w:rsid w:val="00D80629"/>
    <w:rsid w:val="00D809B2"/>
    <w:rsid w:val="00D81A60"/>
    <w:rsid w:val="00D81AAF"/>
    <w:rsid w:val="00D81E18"/>
    <w:rsid w:val="00D81F06"/>
    <w:rsid w:val="00D8232C"/>
    <w:rsid w:val="00D82381"/>
    <w:rsid w:val="00D82B29"/>
    <w:rsid w:val="00D837E0"/>
    <w:rsid w:val="00D83B6A"/>
    <w:rsid w:val="00D847E9"/>
    <w:rsid w:val="00D85805"/>
    <w:rsid w:val="00D860A0"/>
    <w:rsid w:val="00D861D2"/>
    <w:rsid w:val="00D8629B"/>
    <w:rsid w:val="00D863D2"/>
    <w:rsid w:val="00D872F2"/>
    <w:rsid w:val="00D87492"/>
    <w:rsid w:val="00D87DFE"/>
    <w:rsid w:val="00D87F55"/>
    <w:rsid w:val="00D90011"/>
    <w:rsid w:val="00D903F0"/>
    <w:rsid w:val="00D907A1"/>
    <w:rsid w:val="00D91550"/>
    <w:rsid w:val="00D91A18"/>
    <w:rsid w:val="00D91EBE"/>
    <w:rsid w:val="00D9205E"/>
    <w:rsid w:val="00D922BE"/>
    <w:rsid w:val="00D92A1C"/>
    <w:rsid w:val="00D92C6F"/>
    <w:rsid w:val="00D939F4"/>
    <w:rsid w:val="00D93ED1"/>
    <w:rsid w:val="00D93EE2"/>
    <w:rsid w:val="00D942EB"/>
    <w:rsid w:val="00D945FA"/>
    <w:rsid w:val="00D94738"/>
    <w:rsid w:val="00D94A4E"/>
    <w:rsid w:val="00D94E88"/>
    <w:rsid w:val="00D950F4"/>
    <w:rsid w:val="00D95111"/>
    <w:rsid w:val="00D95262"/>
    <w:rsid w:val="00D95415"/>
    <w:rsid w:val="00D9569F"/>
    <w:rsid w:val="00D95A86"/>
    <w:rsid w:val="00D95CC6"/>
    <w:rsid w:val="00D96221"/>
    <w:rsid w:val="00D96BDB"/>
    <w:rsid w:val="00D97FC6"/>
    <w:rsid w:val="00DA023F"/>
    <w:rsid w:val="00DA045A"/>
    <w:rsid w:val="00DA057F"/>
    <w:rsid w:val="00DA07BD"/>
    <w:rsid w:val="00DA0B62"/>
    <w:rsid w:val="00DA10C2"/>
    <w:rsid w:val="00DA1220"/>
    <w:rsid w:val="00DA1EFB"/>
    <w:rsid w:val="00DA1FAB"/>
    <w:rsid w:val="00DA1FFD"/>
    <w:rsid w:val="00DA25BB"/>
    <w:rsid w:val="00DA26CA"/>
    <w:rsid w:val="00DA26D5"/>
    <w:rsid w:val="00DA27A9"/>
    <w:rsid w:val="00DA28C7"/>
    <w:rsid w:val="00DA296B"/>
    <w:rsid w:val="00DA337F"/>
    <w:rsid w:val="00DA3478"/>
    <w:rsid w:val="00DA3F95"/>
    <w:rsid w:val="00DA40C1"/>
    <w:rsid w:val="00DA4EF5"/>
    <w:rsid w:val="00DA5BE2"/>
    <w:rsid w:val="00DA5DE6"/>
    <w:rsid w:val="00DA6052"/>
    <w:rsid w:val="00DA6CA5"/>
    <w:rsid w:val="00DA789B"/>
    <w:rsid w:val="00DA78E0"/>
    <w:rsid w:val="00DA7924"/>
    <w:rsid w:val="00DA7E7A"/>
    <w:rsid w:val="00DA7FA2"/>
    <w:rsid w:val="00DA7FAE"/>
    <w:rsid w:val="00DB01B8"/>
    <w:rsid w:val="00DB0484"/>
    <w:rsid w:val="00DB0BD4"/>
    <w:rsid w:val="00DB0C37"/>
    <w:rsid w:val="00DB100B"/>
    <w:rsid w:val="00DB1650"/>
    <w:rsid w:val="00DB16D0"/>
    <w:rsid w:val="00DB1A19"/>
    <w:rsid w:val="00DB1A70"/>
    <w:rsid w:val="00DB1AA9"/>
    <w:rsid w:val="00DB3801"/>
    <w:rsid w:val="00DB3C10"/>
    <w:rsid w:val="00DB3D36"/>
    <w:rsid w:val="00DB4130"/>
    <w:rsid w:val="00DB4787"/>
    <w:rsid w:val="00DB49B8"/>
    <w:rsid w:val="00DB513A"/>
    <w:rsid w:val="00DB538D"/>
    <w:rsid w:val="00DB5FCC"/>
    <w:rsid w:val="00DB66D2"/>
    <w:rsid w:val="00DB69CC"/>
    <w:rsid w:val="00DB6D35"/>
    <w:rsid w:val="00DB73C4"/>
    <w:rsid w:val="00DB76E2"/>
    <w:rsid w:val="00DB77CD"/>
    <w:rsid w:val="00DB78F8"/>
    <w:rsid w:val="00DB7D97"/>
    <w:rsid w:val="00DC03D2"/>
    <w:rsid w:val="00DC0696"/>
    <w:rsid w:val="00DC090F"/>
    <w:rsid w:val="00DC0C9F"/>
    <w:rsid w:val="00DC102A"/>
    <w:rsid w:val="00DC153B"/>
    <w:rsid w:val="00DC165C"/>
    <w:rsid w:val="00DC19A1"/>
    <w:rsid w:val="00DC2316"/>
    <w:rsid w:val="00DC2BEB"/>
    <w:rsid w:val="00DC2CB5"/>
    <w:rsid w:val="00DC2DF8"/>
    <w:rsid w:val="00DC3047"/>
    <w:rsid w:val="00DC30DB"/>
    <w:rsid w:val="00DC31D8"/>
    <w:rsid w:val="00DC37AD"/>
    <w:rsid w:val="00DC3A23"/>
    <w:rsid w:val="00DC3EDB"/>
    <w:rsid w:val="00DC3FC3"/>
    <w:rsid w:val="00DC4236"/>
    <w:rsid w:val="00DC44AF"/>
    <w:rsid w:val="00DC5167"/>
    <w:rsid w:val="00DC55BB"/>
    <w:rsid w:val="00DC59AC"/>
    <w:rsid w:val="00DC5B69"/>
    <w:rsid w:val="00DC5BA4"/>
    <w:rsid w:val="00DC5FC9"/>
    <w:rsid w:val="00DC616D"/>
    <w:rsid w:val="00DC62A0"/>
    <w:rsid w:val="00DC69B1"/>
    <w:rsid w:val="00DC6B41"/>
    <w:rsid w:val="00DC6C25"/>
    <w:rsid w:val="00DC750F"/>
    <w:rsid w:val="00DC75AD"/>
    <w:rsid w:val="00DC7A94"/>
    <w:rsid w:val="00DC7C65"/>
    <w:rsid w:val="00DC7E0E"/>
    <w:rsid w:val="00DC7F8F"/>
    <w:rsid w:val="00DD0508"/>
    <w:rsid w:val="00DD0689"/>
    <w:rsid w:val="00DD0E8A"/>
    <w:rsid w:val="00DD1041"/>
    <w:rsid w:val="00DD14E5"/>
    <w:rsid w:val="00DD18AF"/>
    <w:rsid w:val="00DD193B"/>
    <w:rsid w:val="00DD1A71"/>
    <w:rsid w:val="00DD1F9F"/>
    <w:rsid w:val="00DD2096"/>
    <w:rsid w:val="00DD226D"/>
    <w:rsid w:val="00DD2337"/>
    <w:rsid w:val="00DD26E8"/>
    <w:rsid w:val="00DD291E"/>
    <w:rsid w:val="00DD2A62"/>
    <w:rsid w:val="00DD2B8E"/>
    <w:rsid w:val="00DD2C46"/>
    <w:rsid w:val="00DD3ECB"/>
    <w:rsid w:val="00DD43FA"/>
    <w:rsid w:val="00DD44B1"/>
    <w:rsid w:val="00DD44EC"/>
    <w:rsid w:val="00DD452C"/>
    <w:rsid w:val="00DD49C8"/>
    <w:rsid w:val="00DD5157"/>
    <w:rsid w:val="00DD53E2"/>
    <w:rsid w:val="00DD5E1F"/>
    <w:rsid w:val="00DD5E39"/>
    <w:rsid w:val="00DD5EC5"/>
    <w:rsid w:val="00DD60CC"/>
    <w:rsid w:val="00DD663B"/>
    <w:rsid w:val="00DD6EEA"/>
    <w:rsid w:val="00DD6F85"/>
    <w:rsid w:val="00DD7115"/>
    <w:rsid w:val="00DD7134"/>
    <w:rsid w:val="00DD74F3"/>
    <w:rsid w:val="00DD789D"/>
    <w:rsid w:val="00DD7AA5"/>
    <w:rsid w:val="00DD7C8D"/>
    <w:rsid w:val="00DD7D54"/>
    <w:rsid w:val="00DD7E95"/>
    <w:rsid w:val="00DE0F0B"/>
    <w:rsid w:val="00DE1235"/>
    <w:rsid w:val="00DE15BF"/>
    <w:rsid w:val="00DE1BAC"/>
    <w:rsid w:val="00DE26C3"/>
    <w:rsid w:val="00DE29BF"/>
    <w:rsid w:val="00DE305E"/>
    <w:rsid w:val="00DE32D3"/>
    <w:rsid w:val="00DE3428"/>
    <w:rsid w:val="00DE34AA"/>
    <w:rsid w:val="00DE3662"/>
    <w:rsid w:val="00DE3C5D"/>
    <w:rsid w:val="00DE3C76"/>
    <w:rsid w:val="00DE3F58"/>
    <w:rsid w:val="00DE45AD"/>
    <w:rsid w:val="00DE48BE"/>
    <w:rsid w:val="00DE4B27"/>
    <w:rsid w:val="00DE4E54"/>
    <w:rsid w:val="00DE4ECF"/>
    <w:rsid w:val="00DE5177"/>
    <w:rsid w:val="00DE5354"/>
    <w:rsid w:val="00DE56E6"/>
    <w:rsid w:val="00DE5802"/>
    <w:rsid w:val="00DE610B"/>
    <w:rsid w:val="00DE630F"/>
    <w:rsid w:val="00DE6BC0"/>
    <w:rsid w:val="00DE6F1C"/>
    <w:rsid w:val="00DE6F4A"/>
    <w:rsid w:val="00DE75B9"/>
    <w:rsid w:val="00DE774A"/>
    <w:rsid w:val="00DE7ADF"/>
    <w:rsid w:val="00DF06F9"/>
    <w:rsid w:val="00DF0726"/>
    <w:rsid w:val="00DF089E"/>
    <w:rsid w:val="00DF0E1B"/>
    <w:rsid w:val="00DF1429"/>
    <w:rsid w:val="00DF14EB"/>
    <w:rsid w:val="00DF19E3"/>
    <w:rsid w:val="00DF2216"/>
    <w:rsid w:val="00DF2C03"/>
    <w:rsid w:val="00DF36CC"/>
    <w:rsid w:val="00DF389D"/>
    <w:rsid w:val="00DF3A1F"/>
    <w:rsid w:val="00DF4173"/>
    <w:rsid w:val="00DF42EA"/>
    <w:rsid w:val="00DF448A"/>
    <w:rsid w:val="00DF46A5"/>
    <w:rsid w:val="00DF475E"/>
    <w:rsid w:val="00DF48E3"/>
    <w:rsid w:val="00DF4BC5"/>
    <w:rsid w:val="00DF4D17"/>
    <w:rsid w:val="00DF57FE"/>
    <w:rsid w:val="00DF5C2A"/>
    <w:rsid w:val="00DF6327"/>
    <w:rsid w:val="00DF65DC"/>
    <w:rsid w:val="00DF6A64"/>
    <w:rsid w:val="00DF6D13"/>
    <w:rsid w:val="00DF6D9F"/>
    <w:rsid w:val="00DF714D"/>
    <w:rsid w:val="00DF7332"/>
    <w:rsid w:val="00DF7C38"/>
    <w:rsid w:val="00DF7DAA"/>
    <w:rsid w:val="00E0008E"/>
    <w:rsid w:val="00E00C2C"/>
    <w:rsid w:val="00E00D5D"/>
    <w:rsid w:val="00E01110"/>
    <w:rsid w:val="00E01A00"/>
    <w:rsid w:val="00E01A6F"/>
    <w:rsid w:val="00E021CC"/>
    <w:rsid w:val="00E02B27"/>
    <w:rsid w:val="00E02FF1"/>
    <w:rsid w:val="00E03AD2"/>
    <w:rsid w:val="00E04192"/>
    <w:rsid w:val="00E047DF"/>
    <w:rsid w:val="00E04AFD"/>
    <w:rsid w:val="00E052D2"/>
    <w:rsid w:val="00E052F9"/>
    <w:rsid w:val="00E05529"/>
    <w:rsid w:val="00E0555F"/>
    <w:rsid w:val="00E05753"/>
    <w:rsid w:val="00E05CF2"/>
    <w:rsid w:val="00E05FDA"/>
    <w:rsid w:val="00E061AA"/>
    <w:rsid w:val="00E068B3"/>
    <w:rsid w:val="00E06957"/>
    <w:rsid w:val="00E06EE2"/>
    <w:rsid w:val="00E076F8"/>
    <w:rsid w:val="00E07884"/>
    <w:rsid w:val="00E07F6E"/>
    <w:rsid w:val="00E104D7"/>
    <w:rsid w:val="00E107A8"/>
    <w:rsid w:val="00E10E19"/>
    <w:rsid w:val="00E11289"/>
    <w:rsid w:val="00E113F8"/>
    <w:rsid w:val="00E11FDC"/>
    <w:rsid w:val="00E12192"/>
    <w:rsid w:val="00E12301"/>
    <w:rsid w:val="00E13131"/>
    <w:rsid w:val="00E13145"/>
    <w:rsid w:val="00E1315D"/>
    <w:rsid w:val="00E13235"/>
    <w:rsid w:val="00E13385"/>
    <w:rsid w:val="00E134AE"/>
    <w:rsid w:val="00E1359A"/>
    <w:rsid w:val="00E136D2"/>
    <w:rsid w:val="00E13727"/>
    <w:rsid w:val="00E13A31"/>
    <w:rsid w:val="00E13D03"/>
    <w:rsid w:val="00E14201"/>
    <w:rsid w:val="00E14AEE"/>
    <w:rsid w:val="00E14CAD"/>
    <w:rsid w:val="00E154E8"/>
    <w:rsid w:val="00E15745"/>
    <w:rsid w:val="00E15C5D"/>
    <w:rsid w:val="00E15D41"/>
    <w:rsid w:val="00E15DFD"/>
    <w:rsid w:val="00E1611D"/>
    <w:rsid w:val="00E16634"/>
    <w:rsid w:val="00E16A18"/>
    <w:rsid w:val="00E16DF1"/>
    <w:rsid w:val="00E1715B"/>
    <w:rsid w:val="00E17BF3"/>
    <w:rsid w:val="00E17C53"/>
    <w:rsid w:val="00E20066"/>
    <w:rsid w:val="00E206D6"/>
    <w:rsid w:val="00E209FC"/>
    <w:rsid w:val="00E20C54"/>
    <w:rsid w:val="00E20DB9"/>
    <w:rsid w:val="00E21367"/>
    <w:rsid w:val="00E218AB"/>
    <w:rsid w:val="00E21A9B"/>
    <w:rsid w:val="00E21C26"/>
    <w:rsid w:val="00E21C73"/>
    <w:rsid w:val="00E21FE3"/>
    <w:rsid w:val="00E223B4"/>
    <w:rsid w:val="00E22421"/>
    <w:rsid w:val="00E224A8"/>
    <w:rsid w:val="00E22954"/>
    <w:rsid w:val="00E22992"/>
    <w:rsid w:val="00E22D10"/>
    <w:rsid w:val="00E23257"/>
    <w:rsid w:val="00E23278"/>
    <w:rsid w:val="00E2329E"/>
    <w:rsid w:val="00E232A0"/>
    <w:rsid w:val="00E2338D"/>
    <w:rsid w:val="00E23652"/>
    <w:rsid w:val="00E23B39"/>
    <w:rsid w:val="00E23C2F"/>
    <w:rsid w:val="00E23D4A"/>
    <w:rsid w:val="00E23DDB"/>
    <w:rsid w:val="00E2407C"/>
    <w:rsid w:val="00E241EC"/>
    <w:rsid w:val="00E243C4"/>
    <w:rsid w:val="00E24885"/>
    <w:rsid w:val="00E249E0"/>
    <w:rsid w:val="00E25780"/>
    <w:rsid w:val="00E25E81"/>
    <w:rsid w:val="00E25FD5"/>
    <w:rsid w:val="00E2652B"/>
    <w:rsid w:val="00E26DA5"/>
    <w:rsid w:val="00E26F3C"/>
    <w:rsid w:val="00E26FAF"/>
    <w:rsid w:val="00E27081"/>
    <w:rsid w:val="00E27702"/>
    <w:rsid w:val="00E27831"/>
    <w:rsid w:val="00E27A5B"/>
    <w:rsid w:val="00E27E78"/>
    <w:rsid w:val="00E301B7"/>
    <w:rsid w:val="00E30CF1"/>
    <w:rsid w:val="00E30E0A"/>
    <w:rsid w:val="00E30F04"/>
    <w:rsid w:val="00E31176"/>
    <w:rsid w:val="00E3149A"/>
    <w:rsid w:val="00E31767"/>
    <w:rsid w:val="00E319AF"/>
    <w:rsid w:val="00E319FF"/>
    <w:rsid w:val="00E32449"/>
    <w:rsid w:val="00E32922"/>
    <w:rsid w:val="00E32995"/>
    <w:rsid w:val="00E32DD2"/>
    <w:rsid w:val="00E33177"/>
    <w:rsid w:val="00E335C7"/>
    <w:rsid w:val="00E33656"/>
    <w:rsid w:val="00E33900"/>
    <w:rsid w:val="00E33DE3"/>
    <w:rsid w:val="00E3500E"/>
    <w:rsid w:val="00E35622"/>
    <w:rsid w:val="00E358D2"/>
    <w:rsid w:val="00E35DAC"/>
    <w:rsid w:val="00E3637F"/>
    <w:rsid w:val="00E36954"/>
    <w:rsid w:val="00E36F13"/>
    <w:rsid w:val="00E37175"/>
    <w:rsid w:val="00E372E8"/>
    <w:rsid w:val="00E37515"/>
    <w:rsid w:val="00E37943"/>
    <w:rsid w:val="00E37A19"/>
    <w:rsid w:val="00E37A31"/>
    <w:rsid w:val="00E37ABF"/>
    <w:rsid w:val="00E405D2"/>
    <w:rsid w:val="00E40F19"/>
    <w:rsid w:val="00E4108B"/>
    <w:rsid w:val="00E410CA"/>
    <w:rsid w:val="00E4121D"/>
    <w:rsid w:val="00E41443"/>
    <w:rsid w:val="00E41A42"/>
    <w:rsid w:val="00E420CF"/>
    <w:rsid w:val="00E42425"/>
    <w:rsid w:val="00E4269F"/>
    <w:rsid w:val="00E42A46"/>
    <w:rsid w:val="00E42B7D"/>
    <w:rsid w:val="00E42E17"/>
    <w:rsid w:val="00E4319E"/>
    <w:rsid w:val="00E4320A"/>
    <w:rsid w:val="00E43D50"/>
    <w:rsid w:val="00E43D74"/>
    <w:rsid w:val="00E4409E"/>
    <w:rsid w:val="00E44656"/>
    <w:rsid w:val="00E446A2"/>
    <w:rsid w:val="00E4473D"/>
    <w:rsid w:val="00E44B4A"/>
    <w:rsid w:val="00E45BCA"/>
    <w:rsid w:val="00E45E4B"/>
    <w:rsid w:val="00E45FB5"/>
    <w:rsid w:val="00E46089"/>
    <w:rsid w:val="00E46E2D"/>
    <w:rsid w:val="00E46E8F"/>
    <w:rsid w:val="00E46EF4"/>
    <w:rsid w:val="00E46FA7"/>
    <w:rsid w:val="00E4767E"/>
    <w:rsid w:val="00E477A6"/>
    <w:rsid w:val="00E477EE"/>
    <w:rsid w:val="00E4794C"/>
    <w:rsid w:val="00E50485"/>
    <w:rsid w:val="00E50591"/>
    <w:rsid w:val="00E50732"/>
    <w:rsid w:val="00E50A19"/>
    <w:rsid w:val="00E50DFA"/>
    <w:rsid w:val="00E50F36"/>
    <w:rsid w:val="00E5134D"/>
    <w:rsid w:val="00E517FB"/>
    <w:rsid w:val="00E51DEC"/>
    <w:rsid w:val="00E520A4"/>
    <w:rsid w:val="00E528D3"/>
    <w:rsid w:val="00E52975"/>
    <w:rsid w:val="00E52AE0"/>
    <w:rsid w:val="00E52C1D"/>
    <w:rsid w:val="00E52FB0"/>
    <w:rsid w:val="00E5336B"/>
    <w:rsid w:val="00E5378D"/>
    <w:rsid w:val="00E538E2"/>
    <w:rsid w:val="00E53CDE"/>
    <w:rsid w:val="00E53E4D"/>
    <w:rsid w:val="00E543D9"/>
    <w:rsid w:val="00E54564"/>
    <w:rsid w:val="00E54B70"/>
    <w:rsid w:val="00E54E7B"/>
    <w:rsid w:val="00E55899"/>
    <w:rsid w:val="00E55FE8"/>
    <w:rsid w:val="00E5607B"/>
    <w:rsid w:val="00E56383"/>
    <w:rsid w:val="00E5694B"/>
    <w:rsid w:val="00E56A37"/>
    <w:rsid w:val="00E56E19"/>
    <w:rsid w:val="00E57502"/>
    <w:rsid w:val="00E57DFD"/>
    <w:rsid w:val="00E60500"/>
    <w:rsid w:val="00E6103E"/>
    <w:rsid w:val="00E6142E"/>
    <w:rsid w:val="00E61A2A"/>
    <w:rsid w:val="00E62006"/>
    <w:rsid w:val="00E6275E"/>
    <w:rsid w:val="00E632CD"/>
    <w:rsid w:val="00E634FC"/>
    <w:rsid w:val="00E63680"/>
    <w:rsid w:val="00E63A0E"/>
    <w:rsid w:val="00E64800"/>
    <w:rsid w:val="00E64932"/>
    <w:rsid w:val="00E64D27"/>
    <w:rsid w:val="00E64EC6"/>
    <w:rsid w:val="00E65063"/>
    <w:rsid w:val="00E654E3"/>
    <w:rsid w:val="00E655D8"/>
    <w:rsid w:val="00E65893"/>
    <w:rsid w:val="00E65F26"/>
    <w:rsid w:val="00E660D0"/>
    <w:rsid w:val="00E66532"/>
    <w:rsid w:val="00E666BD"/>
    <w:rsid w:val="00E669BA"/>
    <w:rsid w:val="00E66C07"/>
    <w:rsid w:val="00E66E54"/>
    <w:rsid w:val="00E66F36"/>
    <w:rsid w:val="00E67D46"/>
    <w:rsid w:val="00E67F4F"/>
    <w:rsid w:val="00E70170"/>
    <w:rsid w:val="00E70786"/>
    <w:rsid w:val="00E70BC7"/>
    <w:rsid w:val="00E7104B"/>
    <w:rsid w:val="00E710AA"/>
    <w:rsid w:val="00E713D3"/>
    <w:rsid w:val="00E713D7"/>
    <w:rsid w:val="00E7141D"/>
    <w:rsid w:val="00E714E2"/>
    <w:rsid w:val="00E71861"/>
    <w:rsid w:val="00E71909"/>
    <w:rsid w:val="00E72882"/>
    <w:rsid w:val="00E72FBC"/>
    <w:rsid w:val="00E7384A"/>
    <w:rsid w:val="00E7465C"/>
    <w:rsid w:val="00E74B36"/>
    <w:rsid w:val="00E74E5F"/>
    <w:rsid w:val="00E75C0D"/>
    <w:rsid w:val="00E75C36"/>
    <w:rsid w:val="00E76385"/>
    <w:rsid w:val="00E7667A"/>
    <w:rsid w:val="00E76B11"/>
    <w:rsid w:val="00E76B5F"/>
    <w:rsid w:val="00E76F05"/>
    <w:rsid w:val="00E779D6"/>
    <w:rsid w:val="00E77AA7"/>
    <w:rsid w:val="00E77BD2"/>
    <w:rsid w:val="00E77D4D"/>
    <w:rsid w:val="00E804E6"/>
    <w:rsid w:val="00E80512"/>
    <w:rsid w:val="00E80974"/>
    <w:rsid w:val="00E80B45"/>
    <w:rsid w:val="00E80EE1"/>
    <w:rsid w:val="00E81D6B"/>
    <w:rsid w:val="00E81F13"/>
    <w:rsid w:val="00E81F5B"/>
    <w:rsid w:val="00E822AC"/>
    <w:rsid w:val="00E82B02"/>
    <w:rsid w:val="00E82EEA"/>
    <w:rsid w:val="00E83272"/>
    <w:rsid w:val="00E83AD0"/>
    <w:rsid w:val="00E83AE5"/>
    <w:rsid w:val="00E83CF5"/>
    <w:rsid w:val="00E84161"/>
    <w:rsid w:val="00E84390"/>
    <w:rsid w:val="00E8454E"/>
    <w:rsid w:val="00E846BA"/>
    <w:rsid w:val="00E84C0E"/>
    <w:rsid w:val="00E850CF"/>
    <w:rsid w:val="00E85447"/>
    <w:rsid w:val="00E8546E"/>
    <w:rsid w:val="00E85776"/>
    <w:rsid w:val="00E8593C"/>
    <w:rsid w:val="00E863AC"/>
    <w:rsid w:val="00E86CB2"/>
    <w:rsid w:val="00E86D12"/>
    <w:rsid w:val="00E86E62"/>
    <w:rsid w:val="00E873AA"/>
    <w:rsid w:val="00E87460"/>
    <w:rsid w:val="00E87627"/>
    <w:rsid w:val="00E87C4F"/>
    <w:rsid w:val="00E87E1E"/>
    <w:rsid w:val="00E90156"/>
    <w:rsid w:val="00E904FD"/>
    <w:rsid w:val="00E90744"/>
    <w:rsid w:val="00E90BAD"/>
    <w:rsid w:val="00E915BC"/>
    <w:rsid w:val="00E91B0E"/>
    <w:rsid w:val="00E91BBB"/>
    <w:rsid w:val="00E91FCF"/>
    <w:rsid w:val="00E928E9"/>
    <w:rsid w:val="00E92BA1"/>
    <w:rsid w:val="00E92DFC"/>
    <w:rsid w:val="00E93346"/>
    <w:rsid w:val="00E9426C"/>
    <w:rsid w:val="00E946D1"/>
    <w:rsid w:val="00E94AA4"/>
    <w:rsid w:val="00E94CDD"/>
    <w:rsid w:val="00E94DC1"/>
    <w:rsid w:val="00E94F17"/>
    <w:rsid w:val="00E950F9"/>
    <w:rsid w:val="00E95308"/>
    <w:rsid w:val="00E95366"/>
    <w:rsid w:val="00E95A4A"/>
    <w:rsid w:val="00E95F9C"/>
    <w:rsid w:val="00E96136"/>
    <w:rsid w:val="00E96231"/>
    <w:rsid w:val="00E968FC"/>
    <w:rsid w:val="00E96939"/>
    <w:rsid w:val="00E96944"/>
    <w:rsid w:val="00E96BB5"/>
    <w:rsid w:val="00E97792"/>
    <w:rsid w:val="00E9796B"/>
    <w:rsid w:val="00E97AE4"/>
    <w:rsid w:val="00E97C7F"/>
    <w:rsid w:val="00EA0050"/>
    <w:rsid w:val="00EA00B0"/>
    <w:rsid w:val="00EA0167"/>
    <w:rsid w:val="00EA0270"/>
    <w:rsid w:val="00EA080F"/>
    <w:rsid w:val="00EA0B89"/>
    <w:rsid w:val="00EA0CBB"/>
    <w:rsid w:val="00EA0E90"/>
    <w:rsid w:val="00EA0ED0"/>
    <w:rsid w:val="00EA1680"/>
    <w:rsid w:val="00EA1795"/>
    <w:rsid w:val="00EA209E"/>
    <w:rsid w:val="00EA255F"/>
    <w:rsid w:val="00EA30B3"/>
    <w:rsid w:val="00EA3178"/>
    <w:rsid w:val="00EA3B2C"/>
    <w:rsid w:val="00EA3DD3"/>
    <w:rsid w:val="00EA4813"/>
    <w:rsid w:val="00EA4875"/>
    <w:rsid w:val="00EA5409"/>
    <w:rsid w:val="00EA5989"/>
    <w:rsid w:val="00EA6318"/>
    <w:rsid w:val="00EA6616"/>
    <w:rsid w:val="00EA6810"/>
    <w:rsid w:val="00EA6B14"/>
    <w:rsid w:val="00EA6B17"/>
    <w:rsid w:val="00EA7254"/>
    <w:rsid w:val="00EA7850"/>
    <w:rsid w:val="00EA7863"/>
    <w:rsid w:val="00EA7B16"/>
    <w:rsid w:val="00EB0290"/>
    <w:rsid w:val="00EB0908"/>
    <w:rsid w:val="00EB0CB2"/>
    <w:rsid w:val="00EB0D21"/>
    <w:rsid w:val="00EB164E"/>
    <w:rsid w:val="00EB170E"/>
    <w:rsid w:val="00EB1884"/>
    <w:rsid w:val="00EB1CDF"/>
    <w:rsid w:val="00EB1E57"/>
    <w:rsid w:val="00EB1E9F"/>
    <w:rsid w:val="00EB2444"/>
    <w:rsid w:val="00EB2666"/>
    <w:rsid w:val="00EB2731"/>
    <w:rsid w:val="00EB2F80"/>
    <w:rsid w:val="00EB384E"/>
    <w:rsid w:val="00EB3A63"/>
    <w:rsid w:val="00EB3E23"/>
    <w:rsid w:val="00EB4165"/>
    <w:rsid w:val="00EB41D6"/>
    <w:rsid w:val="00EB4567"/>
    <w:rsid w:val="00EB4C07"/>
    <w:rsid w:val="00EB552B"/>
    <w:rsid w:val="00EB5FAB"/>
    <w:rsid w:val="00EB6728"/>
    <w:rsid w:val="00EB7019"/>
    <w:rsid w:val="00EB776E"/>
    <w:rsid w:val="00EB7780"/>
    <w:rsid w:val="00EB7918"/>
    <w:rsid w:val="00EB7BD8"/>
    <w:rsid w:val="00EB7C47"/>
    <w:rsid w:val="00EC0898"/>
    <w:rsid w:val="00EC1A26"/>
    <w:rsid w:val="00EC1B01"/>
    <w:rsid w:val="00EC21E8"/>
    <w:rsid w:val="00EC25FE"/>
    <w:rsid w:val="00EC2D40"/>
    <w:rsid w:val="00EC3304"/>
    <w:rsid w:val="00EC3756"/>
    <w:rsid w:val="00EC3B05"/>
    <w:rsid w:val="00EC3D95"/>
    <w:rsid w:val="00EC3F55"/>
    <w:rsid w:val="00EC4203"/>
    <w:rsid w:val="00EC4400"/>
    <w:rsid w:val="00EC59B7"/>
    <w:rsid w:val="00EC5E22"/>
    <w:rsid w:val="00EC60EC"/>
    <w:rsid w:val="00EC64F9"/>
    <w:rsid w:val="00EC6CD5"/>
    <w:rsid w:val="00EC6D2E"/>
    <w:rsid w:val="00EC7143"/>
    <w:rsid w:val="00EC721E"/>
    <w:rsid w:val="00EC7449"/>
    <w:rsid w:val="00EC74DB"/>
    <w:rsid w:val="00EC77AE"/>
    <w:rsid w:val="00EC77FE"/>
    <w:rsid w:val="00EC78AC"/>
    <w:rsid w:val="00ED105A"/>
    <w:rsid w:val="00ED10C6"/>
    <w:rsid w:val="00ED159A"/>
    <w:rsid w:val="00ED178E"/>
    <w:rsid w:val="00ED1939"/>
    <w:rsid w:val="00ED1C21"/>
    <w:rsid w:val="00ED1C8B"/>
    <w:rsid w:val="00ED340E"/>
    <w:rsid w:val="00ED3756"/>
    <w:rsid w:val="00ED3CF5"/>
    <w:rsid w:val="00ED3F97"/>
    <w:rsid w:val="00ED41EA"/>
    <w:rsid w:val="00ED468C"/>
    <w:rsid w:val="00ED4D5D"/>
    <w:rsid w:val="00ED4DB4"/>
    <w:rsid w:val="00ED58D8"/>
    <w:rsid w:val="00ED64E4"/>
    <w:rsid w:val="00ED6B80"/>
    <w:rsid w:val="00ED6C71"/>
    <w:rsid w:val="00ED6EBB"/>
    <w:rsid w:val="00ED7353"/>
    <w:rsid w:val="00ED7482"/>
    <w:rsid w:val="00ED7B42"/>
    <w:rsid w:val="00ED7B7F"/>
    <w:rsid w:val="00EE035F"/>
    <w:rsid w:val="00EE04CF"/>
    <w:rsid w:val="00EE079A"/>
    <w:rsid w:val="00EE119D"/>
    <w:rsid w:val="00EE1347"/>
    <w:rsid w:val="00EE3061"/>
    <w:rsid w:val="00EE3260"/>
    <w:rsid w:val="00EE380D"/>
    <w:rsid w:val="00EE3AE0"/>
    <w:rsid w:val="00EE3B19"/>
    <w:rsid w:val="00EE3C0E"/>
    <w:rsid w:val="00EE4141"/>
    <w:rsid w:val="00EE449A"/>
    <w:rsid w:val="00EE4737"/>
    <w:rsid w:val="00EE49DC"/>
    <w:rsid w:val="00EE503A"/>
    <w:rsid w:val="00EE5835"/>
    <w:rsid w:val="00EE5ED0"/>
    <w:rsid w:val="00EE6277"/>
    <w:rsid w:val="00EE684B"/>
    <w:rsid w:val="00EE7018"/>
    <w:rsid w:val="00EE7366"/>
    <w:rsid w:val="00EE76BC"/>
    <w:rsid w:val="00EE780D"/>
    <w:rsid w:val="00EE7E16"/>
    <w:rsid w:val="00EE7E82"/>
    <w:rsid w:val="00EF024B"/>
    <w:rsid w:val="00EF02A3"/>
    <w:rsid w:val="00EF0DC2"/>
    <w:rsid w:val="00EF0EFE"/>
    <w:rsid w:val="00EF1037"/>
    <w:rsid w:val="00EF1C68"/>
    <w:rsid w:val="00EF1D4A"/>
    <w:rsid w:val="00EF26FD"/>
    <w:rsid w:val="00EF2D21"/>
    <w:rsid w:val="00EF2D4D"/>
    <w:rsid w:val="00EF37FD"/>
    <w:rsid w:val="00EF39D3"/>
    <w:rsid w:val="00EF3C53"/>
    <w:rsid w:val="00EF48BF"/>
    <w:rsid w:val="00EF4A73"/>
    <w:rsid w:val="00EF5128"/>
    <w:rsid w:val="00EF5AB0"/>
    <w:rsid w:val="00EF5E99"/>
    <w:rsid w:val="00EF65BD"/>
    <w:rsid w:val="00EF6CBD"/>
    <w:rsid w:val="00EF6F57"/>
    <w:rsid w:val="00EF7162"/>
    <w:rsid w:val="00EF74C8"/>
    <w:rsid w:val="00EF7CAE"/>
    <w:rsid w:val="00EF7CE1"/>
    <w:rsid w:val="00F00523"/>
    <w:rsid w:val="00F00740"/>
    <w:rsid w:val="00F007CA"/>
    <w:rsid w:val="00F009E0"/>
    <w:rsid w:val="00F00A9C"/>
    <w:rsid w:val="00F00ADE"/>
    <w:rsid w:val="00F00CC6"/>
    <w:rsid w:val="00F00E26"/>
    <w:rsid w:val="00F01384"/>
    <w:rsid w:val="00F01ABE"/>
    <w:rsid w:val="00F022E7"/>
    <w:rsid w:val="00F025E0"/>
    <w:rsid w:val="00F02DDC"/>
    <w:rsid w:val="00F0380F"/>
    <w:rsid w:val="00F03977"/>
    <w:rsid w:val="00F03EBF"/>
    <w:rsid w:val="00F04009"/>
    <w:rsid w:val="00F0455A"/>
    <w:rsid w:val="00F047C7"/>
    <w:rsid w:val="00F04C29"/>
    <w:rsid w:val="00F05B63"/>
    <w:rsid w:val="00F05FED"/>
    <w:rsid w:val="00F0710C"/>
    <w:rsid w:val="00F074D6"/>
    <w:rsid w:val="00F1049A"/>
    <w:rsid w:val="00F104EE"/>
    <w:rsid w:val="00F1055D"/>
    <w:rsid w:val="00F1078B"/>
    <w:rsid w:val="00F10AB4"/>
    <w:rsid w:val="00F10B4D"/>
    <w:rsid w:val="00F10E61"/>
    <w:rsid w:val="00F11077"/>
    <w:rsid w:val="00F11351"/>
    <w:rsid w:val="00F11569"/>
    <w:rsid w:val="00F1293E"/>
    <w:rsid w:val="00F12978"/>
    <w:rsid w:val="00F12994"/>
    <w:rsid w:val="00F138C9"/>
    <w:rsid w:val="00F13DE0"/>
    <w:rsid w:val="00F13EF4"/>
    <w:rsid w:val="00F14094"/>
    <w:rsid w:val="00F14329"/>
    <w:rsid w:val="00F147CC"/>
    <w:rsid w:val="00F14895"/>
    <w:rsid w:val="00F148EA"/>
    <w:rsid w:val="00F14BEA"/>
    <w:rsid w:val="00F14D3D"/>
    <w:rsid w:val="00F14DA3"/>
    <w:rsid w:val="00F15035"/>
    <w:rsid w:val="00F1511C"/>
    <w:rsid w:val="00F15318"/>
    <w:rsid w:val="00F15BB5"/>
    <w:rsid w:val="00F160DE"/>
    <w:rsid w:val="00F16C00"/>
    <w:rsid w:val="00F16CDB"/>
    <w:rsid w:val="00F17650"/>
    <w:rsid w:val="00F20066"/>
    <w:rsid w:val="00F2067A"/>
    <w:rsid w:val="00F20D25"/>
    <w:rsid w:val="00F20FA3"/>
    <w:rsid w:val="00F21BF3"/>
    <w:rsid w:val="00F22037"/>
    <w:rsid w:val="00F22547"/>
    <w:rsid w:val="00F22569"/>
    <w:rsid w:val="00F22723"/>
    <w:rsid w:val="00F22F64"/>
    <w:rsid w:val="00F23033"/>
    <w:rsid w:val="00F2336C"/>
    <w:rsid w:val="00F2386D"/>
    <w:rsid w:val="00F24959"/>
    <w:rsid w:val="00F24A36"/>
    <w:rsid w:val="00F24BF2"/>
    <w:rsid w:val="00F24C8E"/>
    <w:rsid w:val="00F24E77"/>
    <w:rsid w:val="00F24F6C"/>
    <w:rsid w:val="00F2506E"/>
    <w:rsid w:val="00F250DC"/>
    <w:rsid w:val="00F25FF5"/>
    <w:rsid w:val="00F26019"/>
    <w:rsid w:val="00F26427"/>
    <w:rsid w:val="00F27ABC"/>
    <w:rsid w:val="00F303F0"/>
    <w:rsid w:val="00F3088C"/>
    <w:rsid w:val="00F30A9B"/>
    <w:rsid w:val="00F30BBE"/>
    <w:rsid w:val="00F30D86"/>
    <w:rsid w:val="00F30F3A"/>
    <w:rsid w:val="00F31ECF"/>
    <w:rsid w:val="00F3251E"/>
    <w:rsid w:val="00F32810"/>
    <w:rsid w:val="00F32E01"/>
    <w:rsid w:val="00F3324F"/>
    <w:rsid w:val="00F3328A"/>
    <w:rsid w:val="00F33756"/>
    <w:rsid w:val="00F33AFF"/>
    <w:rsid w:val="00F34457"/>
    <w:rsid w:val="00F348B2"/>
    <w:rsid w:val="00F35261"/>
    <w:rsid w:val="00F352CD"/>
    <w:rsid w:val="00F3538C"/>
    <w:rsid w:val="00F36108"/>
    <w:rsid w:val="00F36B8C"/>
    <w:rsid w:val="00F36FCC"/>
    <w:rsid w:val="00F371F7"/>
    <w:rsid w:val="00F3789D"/>
    <w:rsid w:val="00F37C7A"/>
    <w:rsid w:val="00F37C7B"/>
    <w:rsid w:val="00F37EF7"/>
    <w:rsid w:val="00F4086A"/>
    <w:rsid w:val="00F408A1"/>
    <w:rsid w:val="00F40975"/>
    <w:rsid w:val="00F40AC3"/>
    <w:rsid w:val="00F40DA6"/>
    <w:rsid w:val="00F40E12"/>
    <w:rsid w:val="00F41647"/>
    <w:rsid w:val="00F416C0"/>
    <w:rsid w:val="00F4195B"/>
    <w:rsid w:val="00F419E4"/>
    <w:rsid w:val="00F41D1B"/>
    <w:rsid w:val="00F4200A"/>
    <w:rsid w:val="00F42049"/>
    <w:rsid w:val="00F420A9"/>
    <w:rsid w:val="00F42290"/>
    <w:rsid w:val="00F422A5"/>
    <w:rsid w:val="00F4260A"/>
    <w:rsid w:val="00F430C3"/>
    <w:rsid w:val="00F43138"/>
    <w:rsid w:val="00F4314F"/>
    <w:rsid w:val="00F43A76"/>
    <w:rsid w:val="00F43CD5"/>
    <w:rsid w:val="00F44BC4"/>
    <w:rsid w:val="00F44CA7"/>
    <w:rsid w:val="00F44ED1"/>
    <w:rsid w:val="00F4530D"/>
    <w:rsid w:val="00F463B0"/>
    <w:rsid w:val="00F463E6"/>
    <w:rsid w:val="00F46B1E"/>
    <w:rsid w:val="00F47133"/>
    <w:rsid w:val="00F4778C"/>
    <w:rsid w:val="00F501C4"/>
    <w:rsid w:val="00F50471"/>
    <w:rsid w:val="00F508B7"/>
    <w:rsid w:val="00F51B82"/>
    <w:rsid w:val="00F51F09"/>
    <w:rsid w:val="00F52982"/>
    <w:rsid w:val="00F52C27"/>
    <w:rsid w:val="00F52FEE"/>
    <w:rsid w:val="00F54385"/>
    <w:rsid w:val="00F5455D"/>
    <w:rsid w:val="00F54B2C"/>
    <w:rsid w:val="00F54BE5"/>
    <w:rsid w:val="00F54CB0"/>
    <w:rsid w:val="00F55236"/>
    <w:rsid w:val="00F555F3"/>
    <w:rsid w:val="00F55739"/>
    <w:rsid w:val="00F563E8"/>
    <w:rsid w:val="00F56681"/>
    <w:rsid w:val="00F566EA"/>
    <w:rsid w:val="00F56CE7"/>
    <w:rsid w:val="00F56F4C"/>
    <w:rsid w:val="00F577CD"/>
    <w:rsid w:val="00F57C9B"/>
    <w:rsid w:val="00F57DF8"/>
    <w:rsid w:val="00F57E5A"/>
    <w:rsid w:val="00F60524"/>
    <w:rsid w:val="00F60966"/>
    <w:rsid w:val="00F60F1E"/>
    <w:rsid w:val="00F6113E"/>
    <w:rsid w:val="00F611CF"/>
    <w:rsid w:val="00F615E2"/>
    <w:rsid w:val="00F61A57"/>
    <w:rsid w:val="00F61C9F"/>
    <w:rsid w:val="00F6245E"/>
    <w:rsid w:val="00F62501"/>
    <w:rsid w:val="00F626D1"/>
    <w:rsid w:val="00F6334E"/>
    <w:rsid w:val="00F6340A"/>
    <w:rsid w:val="00F63AE6"/>
    <w:rsid w:val="00F63C06"/>
    <w:rsid w:val="00F63CFE"/>
    <w:rsid w:val="00F63D10"/>
    <w:rsid w:val="00F6449E"/>
    <w:rsid w:val="00F6453E"/>
    <w:rsid w:val="00F648A3"/>
    <w:rsid w:val="00F655C6"/>
    <w:rsid w:val="00F65A21"/>
    <w:rsid w:val="00F66BAC"/>
    <w:rsid w:val="00F66E4A"/>
    <w:rsid w:val="00F70442"/>
    <w:rsid w:val="00F70AF3"/>
    <w:rsid w:val="00F71251"/>
    <w:rsid w:val="00F71A7E"/>
    <w:rsid w:val="00F71CD4"/>
    <w:rsid w:val="00F722A4"/>
    <w:rsid w:val="00F7241F"/>
    <w:rsid w:val="00F728CD"/>
    <w:rsid w:val="00F72A4B"/>
    <w:rsid w:val="00F72A71"/>
    <w:rsid w:val="00F72C86"/>
    <w:rsid w:val="00F72E9F"/>
    <w:rsid w:val="00F73912"/>
    <w:rsid w:val="00F74793"/>
    <w:rsid w:val="00F748DE"/>
    <w:rsid w:val="00F74D27"/>
    <w:rsid w:val="00F756A5"/>
    <w:rsid w:val="00F75F79"/>
    <w:rsid w:val="00F76773"/>
    <w:rsid w:val="00F76CED"/>
    <w:rsid w:val="00F7729E"/>
    <w:rsid w:val="00F774ED"/>
    <w:rsid w:val="00F77889"/>
    <w:rsid w:val="00F77EAB"/>
    <w:rsid w:val="00F80BBC"/>
    <w:rsid w:val="00F80F8F"/>
    <w:rsid w:val="00F81354"/>
    <w:rsid w:val="00F81ACE"/>
    <w:rsid w:val="00F81DAB"/>
    <w:rsid w:val="00F81F49"/>
    <w:rsid w:val="00F81F86"/>
    <w:rsid w:val="00F82E3D"/>
    <w:rsid w:val="00F82FB1"/>
    <w:rsid w:val="00F830FE"/>
    <w:rsid w:val="00F834DF"/>
    <w:rsid w:val="00F83C22"/>
    <w:rsid w:val="00F83F5C"/>
    <w:rsid w:val="00F84B31"/>
    <w:rsid w:val="00F84B60"/>
    <w:rsid w:val="00F84EE5"/>
    <w:rsid w:val="00F85090"/>
    <w:rsid w:val="00F8576A"/>
    <w:rsid w:val="00F857AD"/>
    <w:rsid w:val="00F85D0F"/>
    <w:rsid w:val="00F85D2B"/>
    <w:rsid w:val="00F85DD2"/>
    <w:rsid w:val="00F86345"/>
    <w:rsid w:val="00F86428"/>
    <w:rsid w:val="00F864FE"/>
    <w:rsid w:val="00F86A6D"/>
    <w:rsid w:val="00F878AF"/>
    <w:rsid w:val="00F87EC7"/>
    <w:rsid w:val="00F9013E"/>
    <w:rsid w:val="00F9057B"/>
    <w:rsid w:val="00F9090F"/>
    <w:rsid w:val="00F90936"/>
    <w:rsid w:val="00F90AAB"/>
    <w:rsid w:val="00F9111B"/>
    <w:rsid w:val="00F913F8"/>
    <w:rsid w:val="00F91664"/>
    <w:rsid w:val="00F916A8"/>
    <w:rsid w:val="00F91ADD"/>
    <w:rsid w:val="00F91E91"/>
    <w:rsid w:val="00F9202A"/>
    <w:rsid w:val="00F9295E"/>
    <w:rsid w:val="00F92C5D"/>
    <w:rsid w:val="00F92E4F"/>
    <w:rsid w:val="00F93459"/>
    <w:rsid w:val="00F938F0"/>
    <w:rsid w:val="00F939FC"/>
    <w:rsid w:val="00F93AB5"/>
    <w:rsid w:val="00F93B17"/>
    <w:rsid w:val="00F94027"/>
    <w:rsid w:val="00F9449B"/>
    <w:rsid w:val="00F9471A"/>
    <w:rsid w:val="00F9473C"/>
    <w:rsid w:val="00F94C38"/>
    <w:rsid w:val="00F94E17"/>
    <w:rsid w:val="00F94E5C"/>
    <w:rsid w:val="00F950BF"/>
    <w:rsid w:val="00F957B4"/>
    <w:rsid w:val="00F95C4A"/>
    <w:rsid w:val="00F961B3"/>
    <w:rsid w:val="00F96319"/>
    <w:rsid w:val="00F96369"/>
    <w:rsid w:val="00F9672C"/>
    <w:rsid w:val="00F96C59"/>
    <w:rsid w:val="00F96E28"/>
    <w:rsid w:val="00F96EE5"/>
    <w:rsid w:val="00F979D5"/>
    <w:rsid w:val="00F97F6B"/>
    <w:rsid w:val="00FA017C"/>
    <w:rsid w:val="00FA0400"/>
    <w:rsid w:val="00FA0A55"/>
    <w:rsid w:val="00FA0AC6"/>
    <w:rsid w:val="00FA157C"/>
    <w:rsid w:val="00FA1886"/>
    <w:rsid w:val="00FA1C09"/>
    <w:rsid w:val="00FA2137"/>
    <w:rsid w:val="00FA248B"/>
    <w:rsid w:val="00FA28CB"/>
    <w:rsid w:val="00FA2FAF"/>
    <w:rsid w:val="00FA344A"/>
    <w:rsid w:val="00FA35A4"/>
    <w:rsid w:val="00FA40C8"/>
    <w:rsid w:val="00FA48E1"/>
    <w:rsid w:val="00FA4A5D"/>
    <w:rsid w:val="00FA4F93"/>
    <w:rsid w:val="00FA510A"/>
    <w:rsid w:val="00FA5122"/>
    <w:rsid w:val="00FA5216"/>
    <w:rsid w:val="00FA5323"/>
    <w:rsid w:val="00FA533E"/>
    <w:rsid w:val="00FA5A01"/>
    <w:rsid w:val="00FA5ADF"/>
    <w:rsid w:val="00FA5B79"/>
    <w:rsid w:val="00FA5FB1"/>
    <w:rsid w:val="00FA69C8"/>
    <w:rsid w:val="00FA7372"/>
    <w:rsid w:val="00FA7D0D"/>
    <w:rsid w:val="00FB03EA"/>
    <w:rsid w:val="00FB06D8"/>
    <w:rsid w:val="00FB0799"/>
    <w:rsid w:val="00FB1503"/>
    <w:rsid w:val="00FB1622"/>
    <w:rsid w:val="00FB1906"/>
    <w:rsid w:val="00FB1986"/>
    <w:rsid w:val="00FB20AC"/>
    <w:rsid w:val="00FB26AE"/>
    <w:rsid w:val="00FB3248"/>
    <w:rsid w:val="00FB3A60"/>
    <w:rsid w:val="00FB3E7B"/>
    <w:rsid w:val="00FB500B"/>
    <w:rsid w:val="00FB52B7"/>
    <w:rsid w:val="00FB52C2"/>
    <w:rsid w:val="00FB5588"/>
    <w:rsid w:val="00FB5AC6"/>
    <w:rsid w:val="00FB6E35"/>
    <w:rsid w:val="00FB7024"/>
    <w:rsid w:val="00FB71F4"/>
    <w:rsid w:val="00FB7290"/>
    <w:rsid w:val="00FB79FC"/>
    <w:rsid w:val="00FC05E7"/>
    <w:rsid w:val="00FC0960"/>
    <w:rsid w:val="00FC0A57"/>
    <w:rsid w:val="00FC0A59"/>
    <w:rsid w:val="00FC0DAE"/>
    <w:rsid w:val="00FC17DB"/>
    <w:rsid w:val="00FC1EED"/>
    <w:rsid w:val="00FC2E08"/>
    <w:rsid w:val="00FC33B6"/>
    <w:rsid w:val="00FC385E"/>
    <w:rsid w:val="00FC3869"/>
    <w:rsid w:val="00FC41CD"/>
    <w:rsid w:val="00FC5693"/>
    <w:rsid w:val="00FC578F"/>
    <w:rsid w:val="00FC5A7C"/>
    <w:rsid w:val="00FC5B81"/>
    <w:rsid w:val="00FC5D77"/>
    <w:rsid w:val="00FC6435"/>
    <w:rsid w:val="00FC6768"/>
    <w:rsid w:val="00FC6A77"/>
    <w:rsid w:val="00FC6E5C"/>
    <w:rsid w:val="00FC7851"/>
    <w:rsid w:val="00FC7A79"/>
    <w:rsid w:val="00FD0975"/>
    <w:rsid w:val="00FD0DDB"/>
    <w:rsid w:val="00FD0DF0"/>
    <w:rsid w:val="00FD0F3B"/>
    <w:rsid w:val="00FD12B1"/>
    <w:rsid w:val="00FD1C15"/>
    <w:rsid w:val="00FD1F0A"/>
    <w:rsid w:val="00FD1FC7"/>
    <w:rsid w:val="00FD2616"/>
    <w:rsid w:val="00FD262F"/>
    <w:rsid w:val="00FD267B"/>
    <w:rsid w:val="00FD2987"/>
    <w:rsid w:val="00FD3668"/>
    <w:rsid w:val="00FD390E"/>
    <w:rsid w:val="00FD3E83"/>
    <w:rsid w:val="00FD4267"/>
    <w:rsid w:val="00FD44A6"/>
    <w:rsid w:val="00FD4530"/>
    <w:rsid w:val="00FD5526"/>
    <w:rsid w:val="00FD6276"/>
    <w:rsid w:val="00FD6EC0"/>
    <w:rsid w:val="00FD74B6"/>
    <w:rsid w:val="00FD7688"/>
    <w:rsid w:val="00FD7C5E"/>
    <w:rsid w:val="00FD7D26"/>
    <w:rsid w:val="00FE026A"/>
    <w:rsid w:val="00FE028E"/>
    <w:rsid w:val="00FE067F"/>
    <w:rsid w:val="00FE06B4"/>
    <w:rsid w:val="00FE15F1"/>
    <w:rsid w:val="00FE207C"/>
    <w:rsid w:val="00FE28F2"/>
    <w:rsid w:val="00FE2DDA"/>
    <w:rsid w:val="00FE2F04"/>
    <w:rsid w:val="00FE3533"/>
    <w:rsid w:val="00FE3DD0"/>
    <w:rsid w:val="00FE43E7"/>
    <w:rsid w:val="00FE44B7"/>
    <w:rsid w:val="00FE4A48"/>
    <w:rsid w:val="00FE4B6D"/>
    <w:rsid w:val="00FE4D91"/>
    <w:rsid w:val="00FE4FEB"/>
    <w:rsid w:val="00FE5083"/>
    <w:rsid w:val="00FE5391"/>
    <w:rsid w:val="00FE5BF8"/>
    <w:rsid w:val="00FE6D95"/>
    <w:rsid w:val="00FE6E3F"/>
    <w:rsid w:val="00FE7006"/>
    <w:rsid w:val="00FE7164"/>
    <w:rsid w:val="00FE75CE"/>
    <w:rsid w:val="00FE7CDC"/>
    <w:rsid w:val="00FF057E"/>
    <w:rsid w:val="00FF0CF4"/>
    <w:rsid w:val="00FF0DAD"/>
    <w:rsid w:val="00FF1338"/>
    <w:rsid w:val="00FF1A34"/>
    <w:rsid w:val="00FF1ADB"/>
    <w:rsid w:val="00FF1CBA"/>
    <w:rsid w:val="00FF2281"/>
    <w:rsid w:val="00FF280C"/>
    <w:rsid w:val="00FF28AC"/>
    <w:rsid w:val="00FF2FA4"/>
    <w:rsid w:val="00FF32B0"/>
    <w:rsid w:val="00FF32ED"/>
    <w:rsid w:val="00FF3AC3"/>
    <w:rsid w:val="00FF3B8C"/>
    <w:rsid w:val="00FF468B"/>
    <w:rsid w:val="00FF52F2"/>
    <w:rsid w:val="00FF5572"/>
    <w:rsid w:val="00FF5FA5"/>
    <w:rsid w:val="00FF6463"/>
    <w:rsid w:val="00FF6644"/>
    <w:rsid w:val="00FF6D95"/>
    <w:rsid w:val="00FF6FB5"/>
    <w:rsid w:val="00FF7828"/>
    <w:rsid w:val="00FF7B11"/>
    <w:rsid w:val="00FF7B12"/>
    <w:rsid w:val="3FDFA911"/>
    <w:rsid w:val="5AF31E6C"/>
    <w:rsid w:val="7FBE0A8B"/>
    <w:rsid w:val="D33F504A"/>
    <w:rsid w:val="EFBBF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99"/>
    <w:rPr>
      <w:rFonts w:ascii="Calibri" w:hAnsi="Calibri" w:eastAsia="宋体" w:cs="Times New Roman"/>
      <w:sz w:val="18"/>
      <w:szCs w:val="18"/>
    </w:rPr>
  </w:style>
  <w:style w:type="character" w:customStyle="1" w:styleId="8">
    <w:name w:val="页脚 Char"/>
    <w:link w:val="3"/>
    <w:qFormat/>
    <w:uiPriority w:val="99"/>
    <w:rPr>
      <w:rFonts w:ascii="Calibri" w:hAnsi="Calibri" w:eastAsia="宋体" w:cs="Times New Roman"/>
      <w:sz w:val="18"/>
      <w:szCs w:val="18"/>
    </w:rPr>
  </w:style>
  <w:style w:type="character" w:customStyle="1" w:styleId="9">
    <w:name w:val="日期 Char"/>
    <w:link w:val="2"/>
    <w:semiHidden/>
    <w:qFormat/>
    <w:uiPriority w:val="99"/>
    <w:rPr>
      <w:rFonts w:ascii="Calibri" w:hAnsi="Calibri" w:eastAsia="宋体" w:cs="Times New Roman"/>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828</Words>
  <Characters>4721</Characters>
  <Lines>39</Lines>
  <Paragraphs>11</Paragraphs>
  <TotalTime>1</TotalTime>
  <ScaleCrop>false</ScaleCrop>
  <LinksUpToDate>false</LinksUpToDate>
  <CharactersWithSpaces>5538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2022-03-02T00:48:00Z</dcterms:created>
  <dc:creator>蔡慧ch</dc:creator>
  <cp:lastModifiedBy>wangjw</cp:lastModifiedBy>
  <cp:lastPrinted>2016-07-07T19:09:00Z</cp:lastPrinted>
  <dcterms:modified xsi:type="dcterms:W3CDTF">2022-03-03T16:56:07Z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