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B66ABB">
      <w:pPr>
        <w:ind w:firstLineChars="0" w:firstLine="0"/>
        <w:jc w:val="center"/>
        <w:rPr>
          <w:rFonts w:cs="方正小标宋简体"/>
          <w:b/>
          <w:sz w:val="52"/>
          <w:szCs w:val="52"/>
        </w:rPr>
      </w:pPr>
      <w:r>
        <w:rPr>
          <w:rFonts w:cs="方正小标宋简体" w:hint="eastAsia"/>
          <w:b/>
          <w:sz w:val="52"/>
          <w:szCs w:val="52"/>
        </w:rPr>
        <w:t>事前绩效评估报告</w:t>
      </w:r>
    </w:p>
    <w:p w:rsidR="00A22281" w:rsidRDefault="00A22281">
      <w:pPr>
        <w:ind w:firstLine="640"/>
        <w:rPr>
          <w:rFonts w:ascii="仿宋_GB2312" w:eastAsia="仿宋_GB2312" w:hAnsi="Calibri"/>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hint="eastAsia"/>
          <w:sz w:val="32"/>
          <w:szCs w:val="32"/>
        </w:rPr>
      </w:pPr>
    </w:p>
    <w:p w:rsidR="00673308" w:rsidRDefault="00673308">
      <w:pPr>
        <w:ind w:firstLine="640"/>
        <w:rPr>
          <w:rFonts w:ascii="仿宋_GB2312" w:eastAsia="仿宋_GB2312" w:hint="eastAsia"/>
          <w:sz w:val="32"/>
          <w:szCs w:val="32"/>
        </w:rPr>
      </w:pPr>
    </w:p>
    <w:p w:rsidR="00673308" w:rsidRPr="00673308" w:rsidRDefault="00673308">
      <w:pPr>
        <w:ind w:firstLine="640"/>
        <w:rPr>
          <w:rFonts w:ascii="仿宋_GB2312" w:eastAsia="仿宋_GB2312"/>
          <w:sz w:val="32"/>
          <w:szCs w:val="32"/>
        </w:rPr>
      </w:pPr>
      <w:bookmarkStart w:id="0" w:name="_GoBack"/>
      <w:bookmarkEnd w:id="0"/>
    </w:p>
    <w:p w:rsidR="00A22281" w:rsidRDefault="00A22281">
      <w:pPr>
        <w:ind w:firstLine="640"/>
        <w:rPr>
          <w:rFonts w:ascii="仿宋_GB2312" w:eastAsia="仿宋_GB2312"/>
          <w:sz w:val="32"/>
          <w:szCs w:val="32"/>
        </w:rPr>
      </w:pPr>
    </w:p>
    <w:p w:rsidR="00A22281" w:rsidRDefault="00A22281">
      <w:pPr>
        <w:ind w:firstLine="640"/>
        <w:rPr>
          <w:rFonts w:ascii="仿宋_GB2312" w:eastAsia="仿宋_GB2312"/>
          <w:sz w:val="32"/>
          <w:szCs w:val="32"/>
        </w:rPr>
      </w:pPr>
    </w:p>
    <w:p w:rsidR="00A22281" w:rsidRDefault="00B66ABB">
      <w:pPr>
        <w:ind w:firstLine="640"/>
        <w:rPr>
          <w:rFonts w:ascii="仿宋_GB2312" w:eastAsia="仿宋_GB2312"/>
          <w:sz w:val="32"/>
          <w:szCs w:val="32"/>
        </w:rPr>
      </w:pPr>
      <w:r>
        <w:rPr>
          <w:rFonts w:ascii="仿宋_GB2312" w:eastAsia="仿宋_GB2312" w:hint="eastAsia"/>
          <w:sz w:val="32"/>
          <w:szCs w:val="32"/>
        </w:rPr>
        <w:t>项目名称：人才项目经费项目</w:t>
      </w:r>
    </w:p>
    <w:p w:rsidR="00A22281" w:rsidRDefault="00B66ABB">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A22281" w:rsidRDefault="00B66ABB">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A22281" w:rsidRDefault="00B66ABB">
      <w:pPr>
        <w:ind w:firstLine="640"/>
        <w:sectPr w:rsidR="00A2228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r>
        <w:rPr>
          <w:rFonts w:ascii="仿宋_GB2312" w:eastAsia="仿宋_GB2312" w:hint="eastAsia"/>
          <w:sz w:val="32"/>
          <w:szCs w:val="32"/>
        </w:rPr>
        <w:t>评估日期：2019年12月</w:t>
      </w:r>
    </w:p>
    <w:bookmarkStart w:id="1" w:name="_Toc24688" w:displacedByCustomXml="next"/>
    <w:sdt>
      <w:sdtPr>
        <w:rPr>
          <w:rFonts w:ascii="宋体" w:eastAsia="宋体" w:hAnsi="宋体" w:cs="宋体"/>
          <w:b w:val="0"/>
          <w:bCs w:val="0"/>
          <w:color w:val="auto"/>
          <w:kern w:val="2"/>
          <w:sz w:val="27"/>
          <w:szCs w:val="22"/>
          <w:lang w:val="zh-CN"/>
        </w:rPr>
        <w:id w:val="538627102"/>
        <w:docPartObj>
          <w:docPartGallery w:val="Table of Contents"/>
          <w:docPartUnique/>
        </w:docPartObj>
      </w:sdtPr>
      <w:sdtEndPr/>
      <w:sdtContent>
        <w:p w:rsidR="00A22281" w:rsidRPr="00472E1F" w:rsidRDefault="00B66ABB">
          <w:pPr>
            <w:pStyle w:val="TOC2"/>
            <w:ind w:firstLine="540"/>
            <w:jc w:val="center"/>
            <w:rPr>
              <w:rFonts w:asciiTheme="minorEastAsia" w:eastAsiaTheme="minorEastAsia" w:hAnsiTheme="minorEastAsia"/>
              <w:color w:val="auto"/>
              <w:sz w:val="36"/>
              <w:szCs w:val="36"/>
              <w:lang w:val="zh-CN"/>
            </w:rPr>
          </w:pPr>
          <w:r w:rsidRPr="00472E1F">
            <w:rPr>
              <w:rFonts w:asciiTheme="minorEastAsia" w:eastAsiaTheme="minorEastAsia" w:hAnsiTheme="minorEastAsia"/>
              <w:color w:val="auto"/>
              <w:sz w:val="36"/>
              <w:szCs w:val="36"/>
              <w:lang w:val="zh-CN"/>
            </w:rPr>
            <w:t>目</w:t>
          </w:r>
          <w:r w:rsidRPr="00472E1F">
            <w:rPr>
              <w:rFonts w:asciiTheme="minorEastAsia" w:eastAsiaTheme="minorEastAsia" w:hAnsiTheme="minorEastAsia" w:hint="eastAsia"/>
              <w:color w:val="auto"/>
              <w:sz w:val="36"/>
              <w:szCs w:val="36"/>
            </w:rPr>
            <w:t xml:space="preserve"> </w:t>
          </w:r>
          <w:r w:rsidRPr="00472E1F">
            <w:rPr>
              <w:rFonts w:asciiTheme="minorEastAsia" w:eastAsiaTheme="minorEastAsia" w:hAnsiTheme="minorEastAsia"/>
              <w:color w:val="auto"/>
              <w:sz w:val="36"/>
              <w:szCs w:val="36"/>
              <w:lang w:val="zh-CN"/>
            </w:rPr>
            <w:t>录</w:t>
          </w:r>
        </w:p>
        <w:p w:rsidR="00472E1F" w:rsidRPr="00472E1F" w:rsidRDefault="00472E1F" w:rsidP="00472E1F">
          <w:pPr>
            <w:ind w:firstLine="540"/>
            <w:rPr>
              <w:lang w:val="zh-CN"/>
            </w:rPr>
          </w:pPr>
        </w:p>
        <w:p w:rsidR="00A22281" w:rsidRDefault="00B66ABB" w:rsidP="00472E1F">
          <w:pPr>
            <w:pStyle w:val="10"/>
            <w:tabs>
              <w:tab w:val="right" w:leader="dot" w:pos="8296"/>
            </w:tabs>
            <w:ind w:firstLineChars="0" w:firstLine="0"/>
            <w:rPr>
              <w:rFonts w:asciiTheme="minorHAnsi" w:eastAsiaTheme="minorEastAsia" w:hAnsiTheme="minorHAnsi" w:cstheme="minorBidi"/>
              <w:b/>
              <w:noProof/>
              <w:sz w:val="21"/>
            </w:rPr>
          </w:pPr>
          <w:r>
            <w:fldChar w:fldCharType="begin"/>
          </w:r>
          <w:r>
            <w:instrText xml:space="preserve"> TOC \o "1-3" \h \z \u </w:instrText>
          </w:r>
          <w:r>
            <w:fldChar w:fldCharType="separate"/>
          </w:r>
          <w:hyperlink w:anchor="_Toc27494583" w:history="1">
            <w:r>
              <w:rPr>
                <w:rStyle w:val="a8"/>
                <w:rFonts w:hint="eastAsia"/>
                <w:b/>
                <w:noProof/>
              </w:rPr>
              <w:t>一、评估对象</w:t>
            </w:r>
            <w:r>
              <w:rPr>
                <w:b/>
                <w:noProof/>
              </w:rPr>
              <w:tab/>
            </w:r>
            <w:r>
              <w:rPr>
                <w:b/>
                <w:noProof/>
              </w:rPr>
              <w:fldChar w:fldCharType="begin"/>
            </w:r>
            <w:r>
              <w:rPr>
                <w:b/>
                <w:noProof/>
              </w:rPr>
              <w:instrText xml:space="preserve"> PAGEREF _Toc27494583 \h </w:instrText>
            </w:r>
            <w:r>
              <w:rPr>
                <w:b/>
                <w:noProof/>
              </w:rPr>
            </w:r>
            <w:r>
              <w:rPr>
                <w:b/>
                <w:noProof/>
              </w:rPr>
              <w:fldChar w:fldCharType="separate"/>
            </w:r>
            <w:r w:rsidR="007B5F86">
              <w:rPr>
                <w:b/>
                <w:noProof/>
              </w:rPr>
              <w:t>2</w:t>
            </w:r>
            <w:r>
              <w:rPr>
                <w:b/>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84" w:history="1">
            <w:r w:rsidR="00B66ABB">
              <w:rPr>
                <w:rStyle w:val="a8"/>
                <w:rFonts w:hint="eastAsia"/>
                <w:noProof/>
              </w:rPr>
              <w:t>（一）项目名称</w:t>
            </w:r>
            <w:r w:rsidR="00B66ABB">
              <w:rPr>
                <w:noProof/>
              </w:rPr>
              <w:tab/>
            </w:r>
            <w:r w:rsidR="00B66ABB">
              <w:rPr>
                <w:noProof/>
              </w:rPr>
              <w:fldChar w:fldCharType="begin"/>
            </w:r>
            <w:r w:rsidR="00B66ABB">
              <w:rPr>
                <w:noProof/>
              </w:rPr>
              <w:instrText xml:space="preserve"> PAGEREF _Toc27494584 \h </w:instrText>
            </w:r>
            <w:r w:rsidR="00B66ABB">
              <w:rPr>
                <w:noProof/>
              </w:rPr>
            </w:r>
            <w:r w:rsidR="00B66ABB">
              <w:rPr>
                <w:noProof/>
              </w:rPr>
              <w:fldChar w:fldCharType="separate"/>
            </w:r>
            <w:r w:rsidR="007B5F86">
              <w:rPr>
                <w:noProof/>
              </w:rPr>
              <w:t>2</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85" w:history="1">
            <w:r w:rsidR="00B66ABB">
              <w:rPr>
                <w:rStyle w:val="a8"/>
                <w:rFonts w:hint="eastAsia"/>
                <w:noProof/>
              </w:rPr>
              <w:t>（二）项目绩效目标</w:t>
            </w:r>
            <w:r w:rsidR="00B66ABB">
              <w:rPr>
                <w:noProof/>
              </w:rPr>
              <w:tab/>
            </w:r>
            <w:r w:rsidR="00B66ABB">
              <w:rPr>
                <w:noProof/>
              </w:rPr>
              <w:fldChar w:fldCharType="begin"/>
            </w:r>
            <w:r w:rsidR="00B66ABB">
              <w:rPr>
                <w:noProof/>
              </w:rPr>
              <w:instrText xml:space="preserve"> PAGEREF _Toc27494585 \h </w:instrText>
            </w:r>
            <w:r w:rsidR="00B66ABB">
              <w:rPr>
                <w:noProof/>
              </w:rPr>
            </w:r>
            <w:r w:rsidR="00B66ABB">
              <w:rPr>
                <w:noProof/>
              </w:rPr>
              <w:fldChar w:fldCharType="separate"/>
            </w:r>
            <w:r w:rsidR="007B5F86">
              <w:rPr>
                <w:noProof/>
              </w:rPr>
              <w:t>2</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86" w:history="1">
            <w:r w:rsidR="00B66ABB">
              <w:rPr>
                <w:rStyle w:val="a8"/>
                <w:rFonts w:hint="eastAsia"/>
                <w:noProof/>
              </w:rPr>
              <w:t>（三）项目资金构成</w:t>
            </w:r>
            <w:r w:rsidR="00B66ABB">
              <w:rPr>
                <w:noProof/>
              </w:rPr>
              <w:tab/>
            </w:r>
            <w:r w:rsidR="00B66ABB">
              <w:rPr>
                <w:noProof/>
              </w:rPr>
              <w:fldChar w:fldCharType="begin"/>
            </w:r>
            <w:r w:rsidR="00B66ABB">
              <w:rPr>
                <w:noProof/>
              </w:rPr>
              <w:instrText xml:space="preserve"> PAGEREF _Toc27494586 \h </w:instrText>
            </w:r>
            <w:r w:rsidR="00B66ABB">
              <w:rPr>
                <w:noProof/>
              </w:rPr>
            </w:r>
            <w:r w:rsidR="00B66ABB">
              <w:rPr>
                <w:noProof/>
              </w:rPr>
              <w:fldChar w:fldCharType="separate"/>
            </w:r>
            <w:r w:rsidR="007B5F86">
              <w:rPr>
                <w:noProof/>
              </w:rPr>
              <w:t>2</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87" w:history="1">
            <w:r w:rsidR="00B66ABB">
              <w:rPr>
                <w:rStyle w:val="a8"/>
                <w:rFonts w:hint="eastAsia"/>
                <w:noProof/>
              </w:rPr>
              <w:t>（四）项目概况</w:t>
            </w:r>
            <w:r w:rsidR="00B66ABB">
              <w:rPr>
                <w:noProof/>
              </w:rPr>
              <w:tab/>
            </w:r>
            <w:r w:rsidR="00B66ABB">
              <w:rPr>
                <w:noProof/>
              </w:rPr>
              <w:fldChar w:fldCharType="begin"/>
            </w:r>
            <w:r w:rsidR="00B66ABB">
              <w:rPr>
                <w:noProof/>
              </w:rPr>
              <w:instrText xml:space="preserve"> PAGEREF _Toc27494587 \h </w:instrText>
            </w:r>
            <w:r w:rsidR="00B66ABB">
              <w:rPr>
                <w:noProof/>
              </w:rPr>
            </w:r>
            <w:r w:rsidR="00B66ABB">
              <w:rPr>
                <w:noProof/>
              </w:rPr>
              <w:fldChar w:fldCharType="separate"/>
            </w:r>
            <w:r w:rsidR="007B5F86">
              <w:rPr>
                <w:noProof/>
              </w:rPr>
              <w:t>2</w:t>
            </w:r>
            <w:r w:rsidR="00B66ABB">
              <w:rPr>
                <w:noProof/>
              </w:rPr>
              <w:fldChar w:fldCharType="end"/>
            </w:r>
          </w:hyperlink>
        </w:p>
        <w:p w:rsidR="00A22281" w:rsidRDefault="003B5513" w:rsidP="00472E1F">
          <w:pPr>
            <w:pStyle w:val="10"/>
            <w:tabs>
              <w:tab w:val="right" w:leader="dot" w:pos="8296"/>
            </w:tabs>
            <w:ind w:firstLineChars="0" w:firstLine="0"/>
            <w:rPr>
              <w:rFonts w:asciiTheme="minorHAnsi" w:eastAsiaTheme="minorEastAsia" w:hAnsiTheme="minorHAnsi" w:cstheme="minorBidi"/>
              <w:b/>
              <w:noProof/>
              <w:sz w:val="21"/>
            </w:rPr>
          </w:pPr>
          <w:hyperlink w:anchor="_Toc27494588" w:history="1">
            <w:r w:rsidR="00B66ABB">
              <w:rPr>
                <w:rStyle w:val="a8"/>
                <w:rFonts w:hint="eastAsia"/>
                <w:b/>
                <w:noProof/>
              </w:rPr>
              <w:t>二、事前绩效评估的基本情况</w:t>
            </w:r>
            <w:r w:rsidR="00B66ABB">
              <w:rPr>
                <w:b/>
                <w:noProof/>
              </w:rPr>
              <w:tab/>
            </w:r>
            <w:r w:rsidR="00B66ABB">
              <w:rPr>
                <w:b/>
                <w:noProof/>
              </w:rPr>
              <w:fldChar w:fldCharType="begin"/>
            </w:r>
            <w:r w:rsidR="00B66ABB">
              <w:rPr>
                <w:b/>
                <w:noProof/>
              </w:rPr>
              <w:instrText xml:space="preserve"> PAGEREF _Toc27494588 \h </w:instrText>
            </w:r>
            <w:r w:rsidR="00B66ABB">
              <w:rPr>
                <w:b/>
                <w:noProof/>
              </w:rPr>
            </w:r>
            <w:r w:rsidR="00B66ABB">
              <w:rPr>
                <w:b/>
                <w:noProof/>
              </w:rPr>
              <w:fldChar w:fldCharType="separate"/>
            </w:r>
            <w:r w:rsidR="007B5F86">
              <w:rPr>
                <w:b/>
                <w:noProof/>
              </w:rPr>
              <w:t>2</w:t>
            </w:r>
            <w:r w:rsidR="00B66ABB">
              <w:rPr>
                <w:b/>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89" w:history="1">
            <w:r w:rsidR="00B66ABB">
              <w:rPr>
                <w:rStyle w:val="a8"/>
                <w:rFonts w:hint="eastAsia"/>
                <w:noProof/>
              </w:rPr>
              <w:t>（一）评估程序</w:t>
            </w:r>
            <w:r w:rsidR="00B66ABB">
              <w:rPr>
                <w:noProof/>
              </w:rPr>
              <w:tab/>
            </w:r>
            <w:r w:rsidR="00B66ABB">
              <w:rPr>
                <w:noProof/>
              </w:rPr>
              <w:fldChar w:fldCharType="begin"/>
            </w:r>
            <w:r w:rsidR="00B66ABB">
              <w:rPr>
                <w:noProof/>
              </w:rPr>
              <w:instrText xml:space="preserve"> PAGEREF _Toc27494589 \h </w:instrText>
            </w:r>
            <w:r w:rsidR="00B66ABB">
              <w:rPr>
                <w:noProof/>
              </w:rPr>
            </w:r>
            <w:r w:rsidR="00B66ABB">
              <w:rPr>
                <w:noProof/>
              </w:rPr>
              <w:fldChar w:fldCharType="separate"/>
            </w:r>
            <w:r w:rsidR="007B5F86">
              <w:rPr>
                <w:noProof/>
              </w:rPr>
              <w:t>2</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0" w:history="1">
            <w:r w:rsidR="00B66ABB">
              <w:rPr>
                <w:rStyle w:val="a8"/>
                <w:rFonts w:hint="eastAsia"/>
                <w:noProof/>
              </w:rPr>
              <w:t>（二）评估思路</w:t>
            </w:r>
            <w:r w:rsidR="00B66ABB">
              <w:rPr>
                <w:noProof/>
              </w:rPr>
              <w:tab/>
            </w:r>
            <w:r w:rsidR="00B66ABB">
              <w:rPr>
                <w:noProof/>
              </w:rPr>
              <w:fldChar w:fldCharType="begin"/>
            </w:r>
            <w:r w:rsidR="00B66ABB">
              <w:rPr>
                <w:noProof/>
              </w:rPr>
              <w:instrText xml:space="preserve"> PAGEREF _Toc27494590 \h </w:instrText>
            </w:r>
            <w:r w:rsidR="00B66ABB">
              <w:rPr>
                <w:noProof/>
              </w:rPr>
            </w:r>
            <w:r w:rsidR="00B66ABB">
              <w:rPr>
                <w:noProof/>
              </w:rPr>
              <w:fldChar w:fldCharType="separate"/>
            </w:r>
            <w:r w:rsidR="007B5F86">
              <w:rPr>
                <w:noProof/>
              </w:rPr>
              <w:t>4</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1" w:history="1">
            <w:r w:rsidR="00B66ABB">
              <w:rPr>
                <w:rStyle w:val="a8"/>
                <w:rFonts w:hint="eastAsia"/>
                <w:noProof/>
              </w:rPr>
              <w:t>（三）评估方式、方法</w:t>
            </w:r>
            <w:r w:rsidR="00B66ABB">
              <w:rPr>
                <w:noProof/>
              </w:rPr>
              <w:tab/>
            </w:r>
            <w:r w:rsidR="00B66ABB">
              <w:rPr>
                <w:noProof/>
              </w:rPr>
              <w:fldChar w:fldCharType="begin"/>
            </w:r>
            <w:r w:rsidR="00B66ABB">
              <w:rPr>
                <w:noProof/>
              </w:rPr>
              <w:instrText xml:space="preserve"> PAGEREF _Toc27494591 \h </w:instrText>
            </w:r>
            <w:r w:rsidR="00B66ABB">
              <w:rPr>
                <w:noProof/>
              </w:rPr>
            </w:r>
            <w:r w:rsidR="00B66ABB">
              <w:rPr>
                <w:noProof/>
              </w:rPr>
              <w:fldChar w:fldCharType="separate"/>
            </w:r>
            <w:r w:rsidR="007B5F86">
              <w:rPr>
                <w:noProof/>
              </w:rPr>
              <w:t>4</w:t>
            </w:r>
            <w:r w:rsidR="00B66ABB">
              <w:rPr>
                <w:noProof/>
              </w:rPr>
              <w:fldChar w:fldCharType="end"/>
            </w:r>
          </w:hyperlink>
        </w:p>
        <w:p w:rsidR="00A22281" w:rsidRDefault="003B5513" w:rsidP="00472E1F">
          <w:pPr>
            <w:pStyle w:val="10"/>
            <w:tabs>
              <w:tab w:val="right" w:leader="dot" w:pos="8296"/>
            </w:tabs>
            <w:ind w:firstLineChars="0" w:firstLine="0"/>
            <w:rPr>
              <w:rFonts w:asciiTheme="minorHAnsi" w:eastAsiaTheme="minorEastAsia" w:hAnsiTheme="minorHAnsi" w:cstheme="minorBidi"/>
              <w:b/>
              <w:noProof/>
              <w:sz w:val="21"/>
            </w:rPr>
          </w:pPr>
          <w:hyperlink w:anchor="_Toc27494592" w:history="1">
            <w:r w:rsidR="00B66ABB">
              <w:rPr>
                <w:rStyle w:val="a8"/>
                <w:rFonts w:hint="eastAsia"/>
                <w:b/>
                <w:noProof/>
              </w:rPr>
              <w:t>三、评估内容和结论</w:t>
            </w:r>
            <w:r w:rsidR="00B66ABB">
              <w:rPr>
                <w:b/>
                <w:noProof/>
              </w:rPr>
              <w:tab/>
            </w:r>
            <w:r w:rsidR="00B66ABB">
              <w:rPr>
                <w:b/>
                <w:noProof/>
              </w:rPr>
              <w:fldChar w:fldCharType="begin"/>
            </w:r>
            <w:r w:rsidR="00B66ABB">
              <w:rPr>
                <w:b/>
                <w:noProof/>
              </w:rPr>
              <w:instrText xml:space="preserve"> PAGEREF _Toc27494592 \h </w:instrText>
            </w:r>
            <w:r w:rsidR="00B66ABB">
              <w:rPr>
                <w:b/>
                <w:noProof/>
              </w:rPr>
            </w:r>
            <w:r w:rsidR="00B66ABB">
              <w:rPr>
                <w:b/>
                <w:noProof/>
              </w:rPr>
              <w:fldChar w:fldCharType="separate"/>
            </w:r>
            <w:r w:rsidR="007B5F86">
              <w:rPr>
                <w:b/>
                <w:noProof/>
              </w:rPr>
              <w:t>4</w:t>
            </w:r>
            <w:r w:rsidR="00B66ABB">
              <w:rPr>
                <w:b/>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3" w:history="1">
            <w:r w:rsidR="00B66ABB">
              <w:rPr>
                <w:rStyle w:val="a8"/>
                <w:rFonts w:hint="eastAsia"/>
                <w:noProof/>
              </w:rPr>
              <w:t>（一）立项必要性</w:t>
            </w:r>
            <w:r w:rsidR="00B66ABB">
              <w:rPr>
                <w:noProof/>
              </w:rPr>
              <w:tab/>
            </w:r>
            <w:r w:rsidR="00B66ABB">
              <w:rPr>
                <w:noProof/>
              </w:rPr>
              <w:fldChar w:fldCharType="begin"/>
            </w:r>
            <w:r w:rsidR="00B66ABB">
              <w:rPr>
                <w:noProof/>
              </w:rPr>
              <w:instrText xml:space="preserve"> PAGEREF _Toc27494593 \h </w:instrText>
            </w:r>
            <w:r w:rsidR="00B66ABB">
              <w:rPr>
                <w:noProof/>
              </w:rPr>
            </w:r>
            <w:r w:rsidR="00B66ABB">
              <w:rPr>
                <w:noProof/>
              </w:rPr>
              <w:fldChar w:fldCharType="separate"/>
            </w:r>
            <w:r w:rsidR="007B5F86">
              <w:rPr>
                <w:noProof/>
              </w:rPr>
              <w:t>4</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4" w:history="1">
            <w:r w:rsidR="00B66ABB">
              <w:rPr>
                <w:rStyle w:val="a8"/>
                <w:rFonts w:hint="eastAsia"/>
                <w:noProof/>
              </w:rPr>
              <w:t>（二）绩效目标合理性</w:t>
            </w:r>
            <w:r w:rsidR="00B66ABB">
              <w:rPr>
                <w:noProof/>
              </w:rPr>
              <w:tab/>
            </w:r>
            <w:r w:rsidR="00B66ABB">
              <w:rPr>
                <w:noProof/>
              </w:rPr>
              <w:fldChar w:fldCharType="begin"/>
            </w:r>
            <w:r w:rsidR="00B66ABB">
              <w:rPr>
                <w:noProof/>
              </w:rPr>
              <w:instrText xml:space="preserve"> PAGEREF _Toc27494594 \h </w:instrText>
            </w:r>
            <w:r w:rsidR="00B66ABB">
              <w:rPr>
                <w:noProof/>
              </w:rPr>
            </w:r>
            <w:r w:rsidR="00B66ABB">
              <w:rPr>
                <w:noProof/>
              </w:rPr>
              <w:fldChar w:fldCharType="separate"/>
            </w:r>
            <w:r w:rsidR="007B5F86">
              <w:rPr>
                <w:noProof/>
              </w:rPr>
              <w:t>6</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5" w:history="1">
            <w:r w:rsidR="00B66ABB">
              <w:rPr>
                <w:rStyle w:val="a8"/>
                <w:rFonts w:hint="eastAsia"/>
                <w:noProof/>
              </w:rPr>
              <w:t>（三）投入经济性</w:t>
            </w:r>
            <w:r w:rsidR="00B66ABB">
              <w:rPr>
                <w:noProof/>
              </w:rPr>
              <w:tab/>
            </w:r>
            <w:r w:rsidR="00B66ABB">
              <w:rPr>
                <w:noProof/>
              </w:rPr>
              <w:fldChar w:fldCharType="begin"/>
            </w:r>
            <w:r w:rsidR="00B66ABB">
              <w:rPr>
                <w:noProof/>
              </w:rPr>
              <w:instrText xml:space="preserve"> PAGEREF _Toc27494595 \h </w:instrText>
            </w:r>
            <w:r w:rsidR="00B66ABB">
              <w:rPr>
                <w:noProof/>
              </w:rPr>
            </w:r>
            <w:r w:rsidR="00B66ABB">
              <w:rPr>
                <w:noProof/>
              </w:rPr>
              <w:fldChar w:fldCharType="separate"/>
            </w:r>
            <w:r w:rsidR="007B5F86">
              <w:rPr>
                <w:noProof/>
              </w:rPr>
              <w:t>6</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6" w:history="1">
            <w:r w:rsidR="00B66ABB">
              <w:rPr>
                <w:rStyle w:val="a8"/>
                <w:rFonts w:hint="eastAsia"/>
                <w:noProof/>
              </w:rPr>
              <w:t>（四）实施方案可行性</w:t>
            </w:r>
            <w:r w:rsidR="00B66ABB">
              <w:rPr>
                <w:noProof/>
              </w:rPr>
              <w:tab/>
            </w:r>
            <w:r w:rsidR="00B66ABB">
              <w:rPr>
                <w:noProof/>
              </w:rPr>
              <w:fldChar w:fldCharType="begin"/>
            </w:r>
            <w:r w:rsidR="00B66ABB">
              <w:rPr>
                <w:noProof/>
              </w:rPr>
              <w:instrText xml:space="preserve"> PAGEREF _Toc27494596 \h </w:instrText>
            </w:r>
            <w:r w:rsidR="00B66ABB">
              <w:rPr>
                <w:noProof/>
              </w:rPr>
            </w:r>
            <w:r w:rsidR="00B66ABB">
              <w:rPr>
                <w:noProof/>
              </w:rPr>
              <w:fldChar w:fldCharType="separate"/>
            </w:r>
            <w:r w:rsidR="007B5F86">
              <w:rPr>
                <w:noProof/>
              </w:rPr>
              <w:t>7</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7" w:history="1">
            <w:r w:rsidR="00B66ABB">
              <w:rPr>
                <w:rStyle w:val="a8"/>
                <w:rFonts w:hint="eastAsia"/>
                <w:noProof/>
              </w:rPr>
              <w:t>（五）筹资合规性</w:t>
            </w:r>
            <w:r w:rsidR="00B66ABB">
              <w:rPr>
                <w:noProof/>
              </w:rPr>
              <w:tab/>
            </w:r>
            <w:r w:rsidR="00B66ABB">
              <w:rPr>
                <w:noProof/>
              </w:rPr>
              <w:fldChar w:fldCharType="begin"/>
            </w:r>
            <w:r w:rsidR="00B66ABB">
              <w:rPr>
                <w:noProof/>
              </w:rPr>
              <w:instrText xml:space="preserve"> PAGEREF _Toc27494597 \h </w:instrText>
            </w:r>
            <w:r w:rsidR="00B66ABB">
              <w:rPr>
                <w:noProof/>
              </w:rPr>
            </w:r>
            <w:r w:rsidR="00B66ABB">
              <w:rPr>
                <w:noProof/>
              </w:rPr>
              <w:fldChar w:fldCharType="separate"/>
            </w:r>
            <w:r w:rsidR="007B5F86">
              <w:rPr>
                <w:noProof/>
              </w:rPr>
              <w:t>8</w:t>
            </w:r>
            <w:r w:rsidR="00B66ABB">
              <w:rPr>
                <w:noProof/>
              </w:rPr>
              <w:fldChar w:fldCharType="end"/>
            </w:r>
          </w:hyperlink>
        </w:p>
        <w:p w:rsidR="00A22281" w:rsidRDefault="003B5513" w:rsidP="00472E1F">
          <w:pPr>
            <w:pStyle w:val="20"/>
            <w:tabs>
              <w:tab w:val="right" w:leader="dot" w:pos="8296"/>
            </w:tabs>
            <w:ind w:left="540" w:firstLineChars="0" w:firstLine="0"/>
            <w:rPr>
              <w:rFonts w:asciiTheme="minorHAnsi" w:eastAsiaTheme="minorEastAsia" w:hAnsiTheme="minorHAnsi" w:cstheme="minorBidi"/>
              <w:noProof/>
              <w:sz w:val="21"/>
            </w:rPr>
          </w:pPr>
          <w:hyperlink w:anchor="_Toc27494598" w:history="1">
            <w:r w:rsidR="00B66ABB">
              <w:rPr>
                <w:rStyle w:val="a8"/>
                <w:rFonts w:hint="eastAsia"/>
                <w:noProof/>
              </w:rPr>
              <w:t>（六）总体结论</w:t>
            </w:r>
            <w:r w:rsidR="00B66ABB">
              <w:rPr>
                <w:noProof/>
              </w:rPr>
              <w:tab/>
            </w:r>
            <w:r w:rsidR="00B66ABB">
              <w:rPr>
                <w:noProof/>
              </w:rPr>
              <w:fldChar w:fldCharType="begin"/>
            </w:r>
            <w:r w:rsidR="00B66ABB">
              <w:rPr>
                <w:noProof/>
              </w:rPr>
              <w:instrText xml:space="preserve"> PAGEREF _Toc27494598 \h </w:instrText>
            </w:r>
            <w:r w:rsidR="00B66ABB">
              <w:rPr>
                <w:noProof/>
              </w:rPr>
            </w:r>
            <w:r w:rsidR="00B66ABB">
              <w:rPr>
                <w:noProof/>
              </w:rPr>
              <w:fldChar w:fldCharType="separate"/>
            </w:r>
            <w:r w:rsidR="007B5F86">
              <w:rPr>
                <w:noProof/>
              </w:rPr>
              <w:t>8</w:t>
            </w:r>
            <w:r w:rsidR="00B66ABB">
              <w:rPr>
                <w:noProof/>
              </w:rPr>
              <w:fldChar w:fldCharType="end"/>
            </w:r>
          </w:hyperlink>
        </w:p>
        <w:p w:rsidR="00A22281" w:rsidRDefault="003B5513" w:rsidP="00472E1F">
          <w:pPr>
            <w:pStyle w:val="10"/>
            <w:tabs>
              <w:tab w:val="right" w:leader="dot" w:pos="8296"/>
            </w:tabs>
            <w:ind w:firstLineChars="0" w:firstLine="0"/>
            <w:rPr>
              <w:rFonts w:asciiTheme="minorHAnsi" w:eastAsiaTheme="minorEastAsia" w:hAnsiTheme="minorHAnsi" w:cstheme="minorBidi"/>
              <w:b/>
              <w:noProof/>
              <w:sz w:val="21"/>
            </w:rPr>
          </w:pPr>
          <w:hyperlink w:anchor="_Toc27494599" w:history="1">
            <w:r w:rsidR="00B66ABB">
              <w:rPr>
                <w:rStyle w:val="a8"/>
                <w:rFonts w:hint="eastAsia"/>
                <w:b/>
                <w:noProof/>
              </w:rPr>
              <w:t>四、评估的相关建议</w:t>
            </w:r>
            <w:r w:rsidR="00B66ABB">
              <w:rPr>
                <w:b/>
                <w:noProof/>
              </w:rPr>
              <w:tab/>
            </w:r>
            <w:r w:rsidR="00B66ABB">
              <w:rPr>
                <w:b/>
                <w:noProof/>
              </w:rPr>
              <w:fldChar w:fldCharType="begin"/>
            </w:r>
            <w:r w:rsidR="00B66ABB">
              <w:rPr>
                <w:b/>
                <w:noProof/>
              </w:rPr>
              <w:instrText xml:space="preserve"> PAGEREF _Toc27494599 \h </w:instrText>
            </w:r>
            <w:r w:rsidR="00B66ABB">
              <w:rPr>
                <w:b/>
                <w:noProof/>
              </w:rPr>
            </w:r>
            <w:r w:rsidR="00B66ABB">
              <w:rPr>
                <w:b/>
                <w:noProof/>
              </w:rPr>
              <w:fldChar w:fldCharType="separate"/>
            </w:r>
            <w:r w:rsidR="007B5F86">
              <w:rPr>
                <w:b/>
                <w:noProof/>
              </w:rPr>
              <w:t>8</w:t>
            </w:r>
            <w:r w:rsidR="00B66ABB">
              <w:rPr>
                <w:b/>
                <w:noProof/>
              </w:rPr>
              <w:fldChar w:fldCharType="end"/>
            </w:r>
          </w:hyperlink>
        </w:p>
        <w:p w:rsidR="00A22281" w:rsidRDefault="003B5513" w:rsidP="00472E1F">
          <w:pPr>
            <w:pStyle w:val="10"/>
            <w:tabs>
              <w:tab w:val="right" w:leader="dot" w:pos="8296"/>
            </w:tabs>
            <w:ind w:firstLineChars="0" w:firstLine="0"/>
            <w:rPr>
              <w:rFonts w:asciiTheme="minorHAnsi" w:eastAsiaTheme="minorEastAsia" w:hAnsiTheme="minorHAnsi" w:cstheme="minorBidi"/>
              <w:b/>
              <w:noProof/>
              <w:sz w:val="21"/>
            </w:rPr>
          </w:pPr>
          <w:hyperlink w:anchor="_Toc27494600" w:history="1">
            <w:r w:rsidR="00B66ABB">
              <w:rPr>
                <w:rStyle w:val="a8"/>
                <w:rFonts w:hint="eastAsia"/>
                <w:b/>
                <w:noProof/>
              </w:rPr>
              <w:t>五、其他需要说明的问题</w:t>
            </w:r>
            <w:r w:rsidR="00B66ABB">
              <w:rPr>
                <w:b/>
                <w:noProof/>
              </w:rPr>
              <w:tab/>
            </w:r>
            <w:r w:rsidR="00B66ABB">
              <w:rPr>
                <w:b/>
                <w:noProof/>
              </w:rPr>
              <w:fldChar w:fldCharType="begin"/>
            </w:r>
            <w:r w:rsidR="00B66ABB">
              <w:rPr>
                <w:b/>
                <w:noProof/>
              </w:rPr>
              <w:instrText xml:space="preserve"> PAGEREF _Toc27494600 \h </w:instrText>
            </w:r>
            <w:r w:rsidR="00B66ABB">
              <w:rPr>
                <w:b/>
                <w:noProof/>
              </w:rPr>
            </w:r>
            <w:r w:rsidR="00B66ABB">
              <w:rPr>
                <w:b/>
                <w:noProof/>
              </w:rPr>
              <w:fldChar w:fldCharType="separate"/>
            </w:r>
            <w:r w:rsidR="007B5F86">
              <w:rPr>
                <w:b/>
                <w:noProof/>
              </w:rPr>
              <w:t>9</w:t>
            </w:r>
            <w:r w:rsidR="00B66ABB">
              <w:rPr>
                <w:b/>
                <w:noProof/>
              </w:rPr>
              <w:fldChar w:fldCharType="end"/>
            </w:r>
          </w:hyperlink>
        </w:p>
        <w:p w:rsidR="00A22281" w:rsidRDefault="003B5513" w:rsidP="00472E1F">
          <w:pPr>
            <w:pStyle w:val="10"/>
            <w:tabs>
              <w:tab w:val="right" w:leader="dot" w:pos="8296"/>
            </w:tabs>
            <w:ind w:firstLineChars="0" w:firstLine="0"/>
            <w:rPr>
              <w:rFonts w:asciiTheme="minorHAnsi" w:eastAsiaTheme="minorEastAsia" w:hAnsiTheme="minorHAnsi" w:cstheme="minorBidi"/>
              <w:b/>
              <w:noProof/>
              <w:sz w:val="21"/>
            </w:rPr>
          </w:pPr>
          <w:hyperlink w:anchor="_Toc27494601" w:history="1">
            <w:r w:rsidR="00B66ABB">
              <w:rPr>
                <w:rStyle w:val="a8"/>
                <w:rFonts w:hint="eastAsia"/>
                <w:b/>
                <w:noProof/>
              </w:rPr>
              <w:t>六、附件</w:t>
            </w:r>
            <w:r w:rsidR="00B66ABB">
              <w:rPr>
                <w:b/>
                <w:noProof/>
              </w:rPr>
              <w:tab/>
            </w:r>
            <w:r w:rsidR="00B66ABB">
              <w:rPr>
                <w:b/>
                <w:noProof/>
              </w:rPr>
              <w:fldChar w:fldCharType="begin"/>
            </w:r>
            <w:r w:rsidR="00B66ABB">
              <w:rPr>
                <w:b/>
                <w:noProof/>
              </w:rPr>
              <w:instrText xml:space="preserve"> PAGEREF _Toc27494601 \h </w:instrText>
            </w:r>
            <w:r w:rsidR="00B66ABB">
              <w:rPr>
                <w:b/>
                <w:noProof/>
              </w:rPr>
            </w:r>
            <w:r w:rsidR="00B66ABB">
              <w:rPr>
                <w:b/>
                <w:noProof/>
              </w:rPr>
              <w:fldChar w:fldCharType="separate"/>
            </w:r>
            <w:r w:rsidR="007B5F86">
              <w:rPr>
                <w:b/>
                <w:noProof/>
              </w:rPr>
              <w:t>9</w:t>
            </w:r>
            <w:r w:rsidR="00B66ABB">
              <w:rPr>
                <w:b/>
                <w:noProof/>
              </w:rPr>
              <w:fldChar w:fldCharType="end"/>
            </w:r>
          </w:hyperlink>
        </w:p>
        <w:p w:rsidR="00A22281" w:rsidRDefault="00B66ABB" w:rsidP="00472E1F">
          <w:pPr>
            <w:ind w:firstLineChars="0" w:firstLine="0"/>
          </w:pPr>
          <w:r>
            <w:rPr>
              <w:b/>
              <w:bCs/>
              <w:lang w:val="zh-CN"/>
            </w:rPr>
            <w:fldChar w:fldCharType="end"/>
          </w:r>
        </w:p>
      </w:sdtContent>
    </w:sdt>
    <w:p w:rsidR="00A22281" w:rsidRDefault="00A22281">
      <w:pPr>
        <w:ind w:firstLine="540"/>
        <w:sectPr w:rsidR="00A22281">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pPr>
    </w:p>
    <w:p w:rsidR="00A22281" w:rsidRDefault="00B66ABB">
      <w:pPr>
        <w:pStyle w:val="1"/>
        <w:ind w:firstLine="600"/>
      </w:pPr>
      <w:bookmarkStart w:id="2" w:name="_Toc27494583"/>
      <w:r>
        <w:rPr>
          <w:rFonts w:hint="eastAsia"/>
        </w:rPr>
        <w:lastRenderedPageBreak/>
        <w:t>一、评估对象</w:t>
      </w:r>
      <w:bookmarkEnd w:id="1"/>
      <w:bookmarkEnd w:id="2"/>
    </w:p>
    <w:p w:rsidR="00A22281" w:rsidRDefault="00B66ABB">
      <w:pPr>
        <w:pStyle w:val="2"/>
        <w:ind w:firstLine="562"/>
      </w:pPr>
      <w:bookmarkStart w:id="3" w:name="_Toc27494584"/>
      <w:bookmarkStart w:id="4" w:name="_Toc25324"/>
      <w:r>
        <w:rPr>
          <w:rFonts w:hint="eastAsia"/>
        </w:rPr>
        <w:t>（一）项目名称</w:t>
      </w:r>
      <w:bookmarkEnd w:id="3"/>
      <w:bookmarkEnd w:id="4"/>
    </w:p>
    <w:p w:rsidR="00A22281" w:rsidRDefault="00B66ABB">
      <w:pPr>
        <w:ind w:firstLine="540"/>
        <w:rPr>
          <w:rFonts w:hAnsi="Calibri"/>
        </w:rPr>
      </w:pPr>
      <w:r>
        <w:rPr>
          <w:rFonts w:hint="eastAsia"/>
        </w:rPr>
        <w:t>淄博市人力资源和社会保障局人才项目经费项目。</w:t>
      </w:r>
    </w:p>
    <w:p w:rsidR="00A22281" w:rsidRDefault="00B66ABB">
      <w:pPr>
        <w:pStyle w:val="2"/>
        <w:ind w:firstLine="562"/>
      </w:pPr>
      <w:bookmarkStart w:id="5" w:name="_Toc16828"/>
      <w:bookmarkStart w:id="6" w:name="_Toc27494585"/>
      <w:r>
        <w:rPr>
          <w:rFonts w:hint="eastAsia"/>
        </w:rPr>
        <w:t>（二）项目绩效目标</w:t>
      </w:r>
      <w:bookmarkEnd w:id="5"/>
      <w:bookmarkEnd w:id="6"/>
    </w:p>
    <w:p w:rsidR="00A22281" w:rsidRDefault="00B66ABB">
      <w:pPr>
        <w:ind w:firstLine="540"/>
      </w:pPr>
      <w:r>
        <w:rPr>
          <w:rFonts w:hint="eastAsia"/>
        </w:rPr>
        <w:t>1.项目长期绩效目标：为高层次人才提供精准化服务，不断优化人才在淄博的创新创业环境，更好地实施人才强市战略。</w:t>
      </w:r>
    </w:p>
    <w:p w:rsidR="00A22281" w:rsidRDefault="00B66ABB">
      <w:pPr>
        <w:ind w:firstLine="540"/>
      </w:pPr>
      <w:r>
        <w:rPr>
          <w:rFonts w:hint="eastAsia"/>
        </w:rPr>
        <w:t>2.项目年度绩效目标：不断推进我市高层次人才服务绿色通道服务事项落实落地，拓宽服务范围，加大宣传力度；开展高层次人才调研；办理高层次人才认定手续，申领“山东惠才卡”</w:t>
      </w:r>
      <w:r w:rsidR="00472E1F">
        <w:rPr>
          <w:rFonts w:hint="eastAsia"/>
        </w:rPr>
        <w:t xml:space="preserve"> </w:t>
      </w:r>
      <w:r>
        <w:rPr>
          <w:rFonts w:hint="eastAsia"/>
        </w:rPr>
        <w:t>“淄博精英卡”；做好全市高层次人才服务专员业务指导和培训工作；赴区县、高校、医院等开展调研，督查高层次服务事项落实情况。</w:t>
      </w:r>
    </w:p>
    <w:p w:rsidR="00A22281" w:rsidRDefault="00B66ABB">
      <w:pPr>
        <w:pStyle w:val="2"/>
        <w:ind w:firstLine="562"/>
      </w:pPr>
      <w:bookmarkStart w:id="7" w:name="_Toc15347"/>
      <w:bookmarkStart w:id="8" w:name="_Toc27494586"/>
      <w:r>
        <w:rPr>
          <w:rFonts w:hint="eastAsia"/>
        </w:rPr>
        <w:t>（三）项目资金构成</w:t>
      </w:r>
      <w:bookmarkEnd w:id="7"/>
      <w:bookmarkEnd w:id="8"/>
    </w:p>
    <w:p w:rsidR="00A22281" w:rsidRDefault="00B66ABB">
      <w:pPr>
        <w:ind w:firstLine="540"/>
      </w:pPr>
      <w:r>
        <w:rPr>
          <w:rFonts w:hint="eastAsia"/>
        </w:rPr>
        <w:t>项目申请预算资金总额17.8万元，由市级财政资金构成。</w:t>
      </w:r>
    </w:p>
    <w:p w:rsidR="00A22281" w:rsidRDefault="00B66ABB">
      <w:pPr>
        <w:pStyle w:val="2"/>
        <w:ind w:firstLine="562"/>
      </w:pPr>
      <w:bookmarkStart w:id="9" w:name="_Toc27917"/>
      <w:bookmarkStart w:id="10" w:name="_Toc27494587"/>
      <w:r>
        <w:rPr>
          <w:rFonts w:hint="eastAsia"/>
        </w:rPr>
        <w:t>（四）项目概况</w:t>
      </w:r>
      <w:bookmarkEnd w:id="9"/>
      <w:bookmarkEnd w:id="10"/>
    </w:p>
    <w:p w:rsidR="00A22281" w:rsidRDefault="00B66ABB">
      <w:pPr>
        <w:ind w:firstLine="540"/>
      </w:pPr>
      <w:r>
        <w:rPr>
          <w:rFonts w:hint="eastAsia"/>
        </w:rPr>
        <w:t>人才资源是杰出的、优秀的人力资源，是创新活动中最为活跃、最为积极的因素。开展人才交流，调剂人才余缺，优化人力资源配置，优化人才结构，加强人才服务，对于开发人才资源，发挥人才效益，促进稳定就业、建立和谐劳动关系以及经济发展和社会建设具有重要意义。为提高高层次人才精准化服务水平，淄博市人力资源和社会保障局实施人才项目计划，落实全市人才工作目标责任制考核，指导和培训高层次人才服务专员业务工作，开展高层次人才调研，督查高层次人才服务情况，为优化人才在淄博的创新创业环境，更好地实施人才强市战略奠定基础。</w:t>
      </w:r>
    </w:p>
    <w:p w:rsidR="00A22281" w:rsidRDefault="00B66ABB">
      <w:pPr>
        <w:pStyle w:val="1"/>
        <w:ind w:firstLine="600"/>
      </w:pPr>
      <w:bookmarkStart w:id="11" w:name="_Toc27494588"/>
      <w:bookmarkStart w:id="12" w:name="_Toc3950"/>
      <w:r>
        <w:rPr>
          <w:rFonts w:hint="eastAsia"/>
        </w:rPr>
        <w:t>二、事前绩效评估的基本情况</w:t>
      </w:r>
      <w:bookmarkEnd w:id="11"/>
      <w:bookmarkEnd w:id="12"/>
    </w:p>
    <w:p w:rsidR="00A22281" w:rsidRDefault="00B66ABB">
      <w:pPr>
        <w:pStyle w:val="2"/>
        <w:ind w:firstLine="562"/>
      </w:pPr>
      <w:bookmarkStart w:id="13" w:name="_Toc27494589"/>
      <w:bookmarkStart w:id="14" w:name="_Toc2158"/>
      <w:r>
        <w:rPr>
          <w:rFonts w:hint="eastAsia"/>
        </w:rPr>
        <w:t>（一）评估程序</w:t>
      </w:r>
      <w:bookmarkEnd w:id="13"/>
      <w:bookmarkEnd w:id="14"/>
    </w:p>
    <w:p w:rsidR="00A22281" w:rsidRDefault="00B66ABB">
      <w:pPr>
        <w:ind w:firstLine="540"/>
      </w:pPr>
      <w:r>
        <w:rPr>
          <w:rFonts w:hint="eastAsia"/>
        </w:rPr>
        <w:t>1.确定评估对象。明确事前评估项目的依据、内容、目的、时间、</w:t>
      </w:r>
      <w:r>
        <w:rPr>
          <w:rFonts w:hint="eastAsia"/>
        </w:rPr>
        <w:lastRenderedPageBreak/>
        <w:t>要求等事项。</w:t>
      </w:r>
    </w:p>
    <w:p w:rsidR="00A22281" w:rsidRDefault="00B66ABB">
      <w:pPr>
        <w:ind w:firstLine="540"/>
      </w:pPr>
      <w:r>
        <w:rPr>
          <w:rFonts w:hint="eastAsia"/>
        </w:rPr>
        <w:t>2.拟定工作方案。评估工作组结合事前绩效评估工作要求，拟定《事前绩效评估工作方案》,包括评估对象、内容、方法、专家、时间安排等。</w:t>
      </w:r>
    </w:p>
    <w:p w:rsidR="00A22281" w:rsidRDefault="00B66ABB">
      <w:pPr>
        <w:ind w:firstLine="540"/>
      </w:pPr>
      <w:r>
        <w:rPr>
          <w:rFonts w:hint="eastAsia"/>
        </w:rPr>
        <w:t>3.组成评估专家组。评估工作组遴选绩效管理专家、财政财务专家和业务专家，组成评估专家组，并适时开展业务培训。</w:t>
      </w:r>
    </w:p>
    <w:p w:rsidR="00A22281" w:rsidRDefault="00B66ABB">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A22281" w:rsidRDefault="00B66ABB">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A22281" w:rsidRDefault="00B66ABB">
      <w:pPr>
        <w:ind w:firstLine="540"/>
      </w:pPr>
      <w:r>
        <w:rPr>
          <w:rFonts w:hint="eastAsia"/>
        </w:rPr>
        <w:t>6.组织实施评估。绩效考评组会同专家组共同召开评估会议，了解项目基本情况，听取项目单位情况介绍，进行现场评议。</w:t>
      </w:r>
    </w:p>
    <w:p w:rsidR="00A22281" w:rsidRDefault="00B66ABB">
      <w:pPr>
        <w:ind w:firstLine="540"/>
      </w:pPr>
      <w:r>
        <w:rPr>
          <w:rFonts w:hint="eastAsia"/>
        </w:rPr>
        <w:t>（1）采取多种方式，多方获取信息。通过咨询专家、查阅资料、问卷调查、电话采访、集中座谈等方式，全面了解并收集项目信息。</w:t>
      </w:r>
    </w:p>
    <w:p w:rsidR="00A22281" w:rsidRDefault="00B66ABB">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A22281" w:rsidRDefault="00B66ABB">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A22281" w:rsidRDefault="00B66ABB">
      <w:pPr>
        <w:ind w:firstLine="540"/>
      </w:pPr>
      <w:r>
        <w:rPr>
          <w:rFonts w:hint="eastAsia"/>
        </w:rPr>
        <w:lastRenderedPageBreak/>
        <w:t>7.汇报绩效评估结论。完成最终评估报告，提出评估结论意见。</w:t>
      </w:r>
    </w:p>
    <w:p w:rsidR="00A22281" w:rsidRDefault="00B66ABB">
      <w:pPr>
        <w:pStyle w:val="2"/>
        <w:ind w:firstLine="562"/>
      </w:pPr>
      <w:bookmarkStart w:id="15" w:name="_Toc14706"/>
      <w:bookmarkStart w:id="16" w:name="_Toc27494590"/>
      <w:r>
        <w:rPr>
          <w:rFonts w:hint="eastAsia"/>
        </w:rPr>
        <w:t>（二）评估思路</w:t>
      </w:r>
      <w:bookmarkEnd w:id="15"/>
      <w:bookmarkEnd w:id="16"/>
    </w:p>
    <w:p w:rsidR="00A22281" w:rsidRDefault="00B66ABB">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A22281" w:rsidRDefault="00B66ABB">
      <w:pPr>
        <w:pStyle w:val="2"/>
        <w:ind w:firstLine="562"/>
      </w:pPr>
      <w:bookmarkStart w:id="17" w:name="_Toc23820"/>
      <w:bookmarkStart w:id="18" w:name="_Toc27494591"/>
      <w:r>
        <w:rPr>
          <w:rFonts w:hint="eastAsia"/>
        </w:rPr>
        <w:t>（三）评估方式、方法</w:t>
      </w:r>
      <w:bookmarkEnd w:id="17"/>
      <w:bookmarkEnd w:id="18"/>
    </w:p>
    <w:p w:rsidR="00A22281" w:rsidRDefault="00B66ABB">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A22281" w:rsidRDefault="00B66ABB">
      <w:pPr>
        <w:ind w:firstLine="540"/>
      </w:pPr>
      <w:r>
        <w:t>本次事前绩效评估主要采用成本效益分析、比较分析、因素分析、最低成本分析、历史分析、公众评判等方法进行论证。</w:t>
      </w:r>
    </w:p>
    <w:p w:rsidR="00A22281" w:rsidRDefault="00B66ABB">
      <w:pPr>
        <w:pStyle w:val="1"/>
        <w:ind w:firstLine="600"/>
      </w:pPr>
      <w:bookmarkStart w:id="19" w:name="_Toc27494592"/>
      <w:bookmarkStart w:id="20" w:name="_Toc28218"/>
      <w:r>
        <w:rPr>
          <w:rFonts w:hint="eastAsia"/>
        </w:rPr>
        <w:t>三、评估内容和结论</w:t>
      </w:r>
      <w:bookmarkEnd w:id="19"/>
      <w:bookmarkEnd w:id="20"/>
    </w:p>
    <w:p w:rsidR="00A22281" w:rsidRDefault="00B66ABB">
      <w:pPr>
        <w:pStyle w:val="2"/>
        <w:ind w:firstLine="562"/>
      </w:pPr>
      <w:bookmarkStart w:id="21" w:name="_Toc27494593"/>
      <w:bookmarkStart w:id="22" w:name="_Toc9968"/>
      <w:r>
        <w:rPr>
          <w:rFonts w:hint="eastAsia"/>
        </w:rPr>
        <w:t>（一）立项必要性</w:t>
      </w:r>
      <w:bookmarkEnd w:id="21"/>
      <w:bookmarkEnd w:id="22"/>
    </w:p>
    <w:p w:rsidR="00A22281" w:rsidRDefault="00B66ABB">
      <w:pPr>
        <w:ind w:firstLine="540"/>
      </w:pPr>
      <w:r>
        <w:rPr>
          <w:rFonts w:hint="eastAsia"/>
        </w:rPr>
        <w:t>为加快实施人才强国战略,更好地统筹国内国外两种人才资源,造就宏大的高层次创新创业人才队伍,《国家中长期人才发展规划纲要（2010-2020年）》（中发〔2010〕6号）和《专业技术人才队伍建设中长期规划（2010-2020年）》（</w:t>
      </w:r>
      <w:proofErr w:type="gramStart"/>
      <w:r>
        <w:rPr>
          <w:rFonts w:hint="eastAsia"/>
        </w:rPr>
        <w:t>中组发〔2011〕</w:t>
      </w:r>
      <w:proofErr w:type="gramEnd"/>
      <w:r>
        <w:rPr>
          <w:rFonts w:hint="eastAsia"/>
        </w:rPr>
        <w:t>7号）明确提出，要进一步实施并</w:t>
      </w:r>
      <w:proofErr w:type="gramStart"/>
      <w:r>
        <w:rPr>
          <w:rFonts w:hint="eastAsia"/>
        </w:rPr>
        <w:t>完善百千万</w:t>
      </w:r>
      <w:proofErr w:type="gramEnd"/>
      <w:r>
        <w:rPr>
          <w:rFonts w:hint="eastAsia"/>
        </w:rPr>
        <w:t>人才工程，制定不同层次、不同类别、不同地区的人才培养计划。2012年8月，中共中央组织部、人力资源社会保障部等11部门共同印发了《国家高层次人才特殊支持计划》（</w:t>
      </w:r>
      <w:proofErr w:type="gramStart"/>
      <w:r>
        <w:rPr>
          <w:rFonts w:hint="eastAsia"/>
        </w:rPr>
        <w:t>中组发〔2012〕</w:t>
      </w:r>
      <w:proofErr w:type="gramEnd"/>
      <w:r>
        <w:rPr>
          <w:rFonts w:hint="eastAsia"/>
        </w:rPr>
        <w:t>12号），将“百千万人才工程”纳入“国家高层次人才特殊支持计划”统筹实施。2016年3月21日，中共中央印发《关于深化人才发展体制机制改革的意见》（中发〔2016〕9号），指出实现</w:t>
      </w:r>
      <w:r w:rsidR="00472E1F">
        <w:rPr>
          <w:rFonts w:hint="eastAsia"/>
        </w:rPr>
        <w:t>“两个一百年”</w:t>
      </w:r>
      <w:r>
        <w:rPr>
          <w:rFonts w:hint="eastAsia"/>
        </w:rPr>
        <w:t>奋斗目标，必须深化人才发展体制机制改革，加快建设人才强国，最大限度激发人才创新创造创业活力，把各方面优秀人才集聚到党和国家事业</w:t>
      </w:r>
      <w:r>
        <w:rPr>
          <w:rFonts w:hint="eastAsia"/>
        </w:rPr>
        <w:lastRenderedPageBreak/>
        <w:t>中来，并且就深化人才发展体制机制改革提出意见。</w:t>
      </w:r>
    </w:p>
    <w:p w:rsidR="00A22281" w:rsidRDefault="001349CA">
      <w:pPr>
        <w:ind w:firstLine="540"/>
      </w:pPr>
      <w:r>
        <w:rPr>
          <w:rFonts w:hint="eastAsia"/>
        </w:rPr>
        <w:t>2016年7月14日，省委、省政府办公厅发布《关于印发&lt;山东省“十三五”人才发展规划&gt;的通知》（</w:t>
      </w:r>
      <w:proofErr w:type="gramStart"/>
      <w:r>
        <w:rPr>
          <w:rFonts w:hint="eastAsia"/>
        </w:rPr>
        <w:t>鲁办发</w:t>
      </w:r>
      <w:proofErr w:type="gramEnd"/>
      <w:r>
        <w:rPr>
          <w:rFonts w:hint="eastAsia"/>
        </w:rPr>
        <w:t>〔2016〕34号），明确贯彻落实中央关于深化人才发展体制机制改革的意见，加快实施人才强省战略和创新驱动发展战略。2016年7月18日，省委印发《关于深化人才发展体制机制改革的实施意见》（</w:t>
      </w:r>
      <w:proofErr w:type="gramStart"/>
      <w:r w:rsidRPr="009720FD">
        <w:rPr>
          <w:rFonts w:hint="eastAsia"/>
        </w:rPr>
        <w:t>鲁发〔</w:t>
      </w:r>
      <w:r w:rsidRPr="009720FD">
        <w:t>2016〕</w:t>
      </w:r>
      <w:proofErr w:type="gramEnd"/>
      <w:r w:rsidRPr="009720FD">
        <w:t>22号</w:t>
      </w:r>
      <w:r>
        <w:rPr>
          <w:rFonts w:hint="eastAsia"/>
        </w:rPr>
        <w:t>），指出要着眼于破除束缚人才发展的思想观念和体制机制障碍，解放和增强人才活力，构建科学规范、开放包容、运行高效的人才发展治理体系，形成具有山东特色的人才发展体制机制。</w:t>
      </w:r>
      <w:r w:rsidR="00B66ABB">
        <w:rPr>
          <w:rFonts w:hint="eastAsia"/>
        </w:rPr>
        <w:t>2017年，山东省委、省政府印发《关于做好人才支撑新旧动能转换工作的意见》（</w:t>
      </w:r>
      <w:proofErr w:type="gramStart"/>
      <w:r w:rsidR="00B66ABB">
        <w:rPr>
          <w:rFonts w:hint="eastAsia"/>
        </w:rPr>
        <w:t>鲁发〔2017〕</w:t>
      </w:r>
      <w:proofErr w:type="gramEnd"/>
      <w:r w:rsidR="00B66ABB">
        <w:rPr>
          <w:rFonts w:hint="eastAsia"/>
        </w:rPr>
        <w:t>26号），指出人才是实现民族振兴、赢得国际竞争主动的战略资源，提出做好人才支撑新旧动能转换工作的意见。</w:t>
      </w:r>
    </w:p>
    <w:p w:rsidR="00A22281" w:rsidRDefault="00B66ABB">
      <w:pPr>
        <w:ind w:firstLine="540"/>
        <w:rPr>
          <w:highlight w:val="cyan"/>
        </w:rPr>
      </w:pPr>
      <w:r>
        <w:rPr>
          <w:rFonts w:hint="eastAsia"/>
        </w:rPr>
        <w:t>2017年12月13日，</w:t>
      </w:r>
      <w:r w:rsidR="001349CA">
        <w:rPr>
          <w:rFonts w:hint="eastAsia"/>
        </w:rPr>
        <w:t>淄博市委、市政府</w:t>
      </w:r>
      <w:r>
        <w:rPr>
          <w:rFonts w:hint="eastAsia"/>
        </w:rPr>
        <w:t>发布《关于进一步推进人才优先发展的若干措施》（</w:t>
      </w:r>
      <w:proofErr w:type="gramStart"/>
      <w:r>
        <w:rPr>
          <w:rFonts w:hint="eastAsia"/>
        </w:rPr>
        <w:t>淄</w:t>
      </w:r>
      <w:proofErr w:type="gramEnd"/>
      <w:r>
        <w:rPr>
          <w:rFonts w:hint="eastAsia"/>
        </w:rPr>
        <w:t>发〔2017〕34号），就进一步推进人才优先发展制定相应政策措施。2018年12月10日，</w:t>
      </w:r>
      <w:r w:rsidR="001349CA">
        <w:rPr>
          <w:rFonts w:hint="eastAsia"/>
        </w:rPr>
        <w:t>市委组织部、市</w:t>
      </w:r>
      <w:proofErr w:type="gramStart"/>
      <w:r w:rsidR="001349CA">
        <w:rPr>
          <w:rFonts w:hint="eastAsia"/>
        </w:rPr>
        <w:t>人社局</w:t>
      </w:r>
      <w:proofErr w:type="gramEnd"/>
      <w:r w:rsidR="001349CA">
        <w:rPr>
          <w:rFonts w:hint="eastAsia"/>
        </w:rPr>
        <w:t>制定</w:t>
      </w:r>
      <w:r>
        <w:rPr>
          <w:rFonts w:hint="eastAsia"/>
        </w:rPr>
        <w:t>《淄博市高层次人才服务专员管理办法》（</w:t>
      </w:r>
      <w:proofErr w:type="gramStart"/>
      <w:r>
        <w:rPr>
          <w:rFonts w:hint="eastAsia"/>
        </w:rPr>
        <w:t>淄人社发</w:t>
      </w:r>
      <w:proofErr w:type="gramEnd"/>
      <w:r>
        <w:rPr>
          <w:rFonts w:hint="eastAsia"/>
        </w:rPr>
        <w:t>〔2018〕113号），</w:t>
      </w:r>
      <w:proofErr w:type="gramStart"/>
      <w:r>
        <w:rPr>
          <w:rFonts w:hint="eastAsia"/>
        </w:rPr>
        <w:t>明确通过</w:t>
      </w:r>
      <w:proofErr w:type="gramEnd"/>
      <w:r>
        <w:rPr>
          <w:rFonts w:hint="eastAsia"/>
        </w:rPr>
        <w:t>建立高层次人才服务专员制度，切实做好淄博市高层次人才服务工作。2018年12月12日，</w:t>
      </w:r>
      <w:r w:rsidR="001349CA">
        <w:rPr>
          <w:rFonts w:hint="eastAsia"/>
        </w:rPr>
        <w:t>市委组织部、市</w:t>
      </w:r>
      <w:proofErr w:type="gramStart"/>
      <w:r w:rsidR="001349CA">
        <w:rPr>
          <w:rFonts w:hint="eastAsia"/>
        </w:rPr>
        <w:t>人社局</w:t>
      </w:r>
      <w:proofErr w:type="gramEnd"/>
      <w:r>
        <w:rPr>
          <w:rFonts w:hint="eastAsia"/>
        </w:rPr>
        <w:t>等9部门共同发布《淄博市高层次人才服务绿色通道规定》（</w:t>
      </w:r>
      <w:proofErr w:type="gramStart"/>
      <w:r>
        <w:rPr>
          <w:rFonts w:hint="eastAsia"/>
        </w:rPr>
        <w:t>淄人社发</w:t>
      </w:r>
      <w:proofErr w:type="gramEnd"/>
      <w:r>
        <w:rPr>
          <w:rFonts w:hint="eastAsia"/>
        </w:rPr>
        <w:t>〔2018〕114号），提出为更好服务高层次人才创新创业的相关要求。</w:t>
      </w:r>
    </w:p>
    <w:p w:rsidR="00A22281" w:rsidRDefault="00B66ABB">
      <w:pPr>
        <w:ind w:firstLine="540"/>
      </w:pPr>
      <w:r>
        <w:rPr>
          <w:rFonts w:hint="eastAsia"/>
        </w:rPr>
        <w:t>淄博市人力资源和社会保障局通过开展人才项目经费项目，推进淄博市高层次人才服务绿色通道服务事项落实落地，不断优化人才在淄博的创新创业环境，为高层次人才提供精准化服务，为更好地实施人才强市战略提供有力保障。</w:t>
      </w:r>
    </w:p>
    <w:p w:rsidR="00A22281" w:rsidRDefault="00B66ABB">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A22281" w:rsidRDefault="00B66ABB">
      <w:pPr>
        <w:pStyle w:val="2"/>
        <w:ind w:firstLine="562"/>
      </w:pPr>
      <w:bookmarkStart w:id="23" w:name="_Toc22396"/>
      <w:bookmarkStart w:id="24" w:name="_Toc27494594"/>
      <w:r>
        <w:rPr>
          <w:rFonts w:hint="eastAsia"/>
        </w:rPr>
        <w:lastRenderedPageBreak/>
        <w:t>（二）绩效目标合理性</w:t>
      </w:r>
      <w:bookmarkEnd w:id="23"/>
      <w:bookmarkEnd w:id="24"/>
    </w:p>
    <w:p w:rsidR="00A22281" w:rsidRDefault="00B66ABB">
      <w:pPr>
        <w:ind w:firstLine="540"/>
        <w:rPr>
          <w:highlight w:val="cyan"/>
        </w:rPr>
      </w:pPr>
      <w:r>
        <w:rPr>
          <w:rFonts w:hint="eastAsia"/>
        </w:rPr>
        <w:t>项目绩效目标明确，基本覆盖了预期的产出及效益情况。项目产出方面，围绕印刷材料数量、高层次专员培训次数、制作精英卡数量、调研督查次数、固定资产购置数量、休假疗养高层次人才数量、老中青专家走基层次数、万名干部下基层次数及天数以及推荐国家和省以上专家的评审评委</w:t>
      </w:r>
      <w:r w:rsidR="001349CA">
        <w:rPr>
          <w:rFonts w:hint="eastAsia"/>
        </w:rPr>
        <w:t>人数</w:t>
      </w:r>
      <w:r>
        <w:rPr>
          <w:rFonts w:hint="eastAsia"/>
        </w:rPr>
        <w:t>设置数量指标，围绕工作完成时效设置时效指标，围绕各项工作完成质量设置质量指标，其中，数量、时效、质量指标的设置均</w:t>
      </w:r>
      <w:r w:rsidR="001349CA">
        <w:rPr>
          <w:rFonts w:hint="eastAsia"/>
        </w:rPr>
        <w:t>细</w:t>
      </w:r>
      <w:r>
        <w:rPr>
          <w:rFonts w:hint="eastAsia"/>
        </w:rPr>
        <w:t>化、可衡量。项目效益方面，社会效益指标的设置主要围绕两个方面，一是是否能优化高层次人才创新创业环境，二是是否能推进高层次人才服务绿色通道落地；可持续影响指标，围绕是否能</w:t>
      </w:r>
      <w:r w:rsidR="001349CA">
        <w:rPr>
          <w:rFonts w:hint="eastAsia"/>
        </w:rPr>
        <w:t>构建</w:t>
      </w:r>
      <w:r>
        <w:rPr>
          <w:rFonts w:hint="eastAsia"/>
        </w:rPr>
        <w:t>培养引才、爱才、惜才氛围</w:t>
      </w:r>
      <w:r w:rsidR="00BF78F2">
        <w:rPr>
          <w:rFonts w:hint="eastAsia"/>
        </w:rPr>
        <w:t>设置</w:t>
      </w:r>
      <w:r>
        <w:rPr>
          <w:rFonts w:hint="eastAsia"/>
        </w:rPr>
        <w:t>；满意度方面，围绕高层次人才是否满意设置。</w:t>
      </w:r>
    </w:p>
    <w:p w:rsidR="00A22281" w:rsidRDefault="00B66ABB">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A22281" w:rsidRDefault="00B66ABB">
      <w:pPr>
        <w:pStyle w:val="2"/>
        <w:ind w:firstLine="562"/>
      </w:pPr>
      <w:bookmarkStart w:id="25" w:name="_Toc27494595"/>
      <w:bookmarkStart w:id="26" w:name="_Toc6018"/>
      <w:r>
        <w:rPr>
          <w:rFonts w:hint="eastAsia"/>
        </w:rPr>
        <w:t>（三）投入经济性</w:t>
      </w:r>
      <w:bookmarkEnd w:id="25"/>
      <w:bookmarkEnd w:id="26"/>
    </w:p>
    <w:p w:rsidR="00A22281" w:rsidRDefault="00B66ABB">
      <w:pPr>
        <w:ind w:firstLine="540"/>
      </w:pPr>
      <w:r>
        <w:rPr>
          <w:rFonts w:hint="eastAsia"/>
        </w:rPr>
        <w:t>本项目预计投入资金17.8万元，分别用于以下内容：</w:t>
      </w:r>
    </w:p>
    <w:p w:rsidR="00A22281" w:rsidRDefault="00B66ABB">
      <w:pPr>
        <w:ind w:firstLine="540"/>
      </w:pPr>
      <w:r>
        <w:rPr>
          <w:rFonts w:hint="eastAsia"/>
        </w:rPr>
        <w:t>1.资料印刷费：印制《高层次人才服务绿色通道服务指南》《淄博人才新政》等资料：2元/份*5000份=1</w:t>
      </w:r>
      <w:r w:rsidR="00BF78F2">
        <w:rPr>
          <w:rFonts w:hint="eastAsia"/>
        </w:rPr>
        <w:t>万元；</w:t>
      </w:r>
    </w:p>
    <w:p w:rsidR="00A22281" w:rsidRDefault="00B66ABB">
      <w:pPr>
        <w:ind w:firstLine="540"/>
      </w:pPr>
      <w:r>
        <w:rPr>
          <w:rFonts w:hint="eastAsia"/>
        </w:rPr>
        <w:t>2.“淄博精英卡”制作：10元/张*3000张=3</w:t>
      </w:r>
      <w:r w:rsidR="00BF78F2">
        <w:rPr>
          <w:rFonts w:hint="eastAsia"/>
        </w:rPr>
        <w:t>万元；</w:t>
      </w:r>
    </w:p>
    <w:p w:rsidR="00A22281" w:rsidRDefault="00B66ABB">
      <w:pPr>
        <w:ind w:firstLine="540"/>
      </w:pPr>
      <w:r>
        <w:rPr>
          <w:rFonts w:hint="eastAsia"/>
        </w:rPr>
        <w:t>3.高层次专员培训2020年组织2次</w:t>
      </w:r>
      <w:r w:rsidR="00BF78F2">
        <w:rPr>
          <w:rFonts w:hint="eastAsia"/>
        </w:rPr>
        <w:t>：</w:t>
      </w:r>
    </w:p>
    <w:p w:rsidR="00A22281" w:rsidRDefault="00B66ABB">
      <w:pPr>
        <w:ind w:firstLine="540"/>
      </w:pPr>
      <w:r>
        <w:rPr>
          <w:rFonts w:hint="eastAsia"/>
        </w:rPr>
        <w:t>（1）场地租赁1天0.2万元</w:t>
      </w:r>
      <w:r w:rsidR="00BF78F2">
        <w:rPr>
          <w:rFonts w:hint="eastAsia"/>
        </w:rPr>
        <w:t>，</w:t>
      </w:r>
    </w:p>
    <w:p w:rsidR="00A22281" w:rsidRDefault="00B66ABB">
      <w:pPr>
        <w:ind w:firstLine="540"/>
      </w:pPr>
      <w:r>
        <w:rPr>
          <w:rFonts w:hint="eastAsia"/>
        </w:rPr>
        <w:t>（2）资料费5元/人*200人=0.1万元</w:t>
      </w:r>
      <w:r w:rsidR="00BF78F2">
        <w:rPr>
          <w:rFonts w:hint="eastAsia"/>
        </w:rPr>
        <w:t>，</w:t>
      </w:r>
    </w:p>
    <w:p w:rsidR="00A22281" w:rsidRDefault="00B66ABB">
      <w:pPr>
        <w:ind w:firstLine="540"/>
      </w:pPr>
      <w:r>
        <w:rPr>
          <w:rFonts w:hint="eastAsia"/>
        </w:rPr>
        <w:t>（3）授课费1000元/人*1人次=0.1万元</w:t>
      </w:r>
      <w:r w:rsidR="00BF78F2">
        <w:rPr>
          <w:rFonts w:hint="eastAsia"/>
        </w:rPr>
        <w:t>，</w:t>
      </w:r>
    </w:p>
    <w:p w:rsidR="00A22281" w:rsidRDefault="00B66ABB">
      <w:pPr>
        <w:ind w:firstLine="540"/>
      </w:pPr>
      <w:r>
        <w:rPr>
          <w:rFonts w:hint="eastAsia"/>
        </w:rPr>
        <w:t>（4）印刷费0.85万元</w:t>
      </w:r>
      <w:r w:rsidR="00BF78F2">
        <w:rPr>
          <w:rFonts w:hint="eastAsia"/>
        </w:rPr>
        <w:t>；</w:t>
      </w:r>
    </w:p>
    <w:p w:rsidR="00A22281" w:rsidRDefault="00B66ABB">
      <w:pPr>
        <w:ind w:firstLine="540"/>
      </w:pPr>
      <w:r>
        <w:rPr>
          <w:rFonts w:hint="eastAsia"/>
        </w:rPr>
        <w:t>4.区县调研车辆租赁费</w:t>
      </w:r>
      <w:r w:rsidR="00BF78F2">
        <w:rPr>
          <w:rFonts w:hint="eastAsia"/>
        </w:rPr>
        <w:t>1.07万元</w:t>
      </w:r>
      <w:r>
        <w:rPr>
          <w:rFonts w:hint="eastAsia"/>
        </w:rPr>
        <w:t>：2020年每季度赴区县、部分企业、高校、医院等调研督查，1年约30次，租车费用400-800元/次</w:t>
      </w:r>
      <w:r w:rsidR="00BF78F2">
        <w:rPr>
          <w:rFonts w:hint="eastAsia"/>
        </w:rPr>
        <w:t>；</w:t>
      </w:r>
    </w:p>
    <w:p w:rsidR="00A22281" w:rsidRDefault="00B66ABB">
      <w:pPr>
        <w:ind w:firstLine="540"/>
      </w:pPr>
      <w:r>
        <w:rPr>
          <w:rFonts w:hint="eastAsia"/>
        </w:rPr>
        <w:lastRenderedPageBreak/>
        <w:t>5.固定资产购置</w:t>
      </w:r>
      <w:r w:rsidR="00BF78F2">
        <w:rPr>
          <w:rFonts w:hint="eastAsia"/>
        </w:rPr>
        <w:t>：</w:t>
      </w:r>
    </w:p>
    <w:p w:rsidR="00A22281" w:rsidRDefault="00BF78F2">
      <w:pPr>
        <w:ind w:firstLine="540"/>
      </w:pPr>
      <w:r>
        <w:rPr>
          <w:rFonts w:hint="eastAsia"/>
        </w:rPr>
        <w:t>（1）</w:t>
      </w:r>
      <w:r w:rsidR="00B66ABB">
        <w:rPr>
          <w:rFonts w:hint="eastAsia"/>
        </w:rPr>
        <w:t>联想电脑3台：5000元/台*3台=1.5万元</w:t>
      </w:r>
      <w:r>
        <w:rPr>
          <w:rFonts w:hint="eastAsia"/>
        </w:rPr>
        <w:t>；</w:t>
      </w:r>
    </w:p>
    <w:p w:rsidR="00A22281" w:rsidRDefault="00BF78F2">
      <w:pPr>
        <w:ind w:firstLine="540"/>
      </w:pPr>
      <w:r>
        <w:rPr>
          <w:rFonts w:hint="eastAsia"/>
        </w:rPr>
        <w:t>（2）</w:t>
      </w:r>
      <w:r w:rsidR="00B66ABB">
        <w:rPr>
          <w:rFonts w:hint="eastAsia"/>
        </w:rPr>
        <w:t>打印机：1400元/台*2台=0.28万元</w:t>
      </w:r>
      <w:r>
        <w:rPr>
          <w:rFonts w:hint="eastAsia"/>
        </w:rPr>
        <w:t>；</w:t>
      </w:r>
    </w:p>
    <w:p w:rsidR="00A22281" w:rsidRDefault="00B66ABB">
      <w:pPr>
        <w:ind w:firstLine="540"/>
      </w:pPr>
      <w:r>
        <w:rPr>
          <w:rFonts w:hint="eastAsia"/>
        </w:rPr>
        <w:t>6.人员费用</w:t>
      </w:r>
    </w:p>
    <w:p w:rsidR="00A22281" w:rsidRDefault="00B66ABB">
      <w:pPr>
        <w:ind w:firstLine="540"/>
      </w:pPr>
      <w:r>
        <w:rPr>
          <w:rFonts w:hint="eastAsia"/>
        </w:rPr>
        <w:t>（1）组织推荐国家和省以上专家的评审工作费用。包括评委补助费用、评委食宿费用约6.4万元(其中</w:t>
      </w:r>
      <w:r w:rsidR="00BF78F2">
        <w:rPr>
          <w:rFonts w:hint="eastAsia"/>
        </w:rPr>
        <w:t>：</w:t>
      </w:r>
      <w:r>
        <w:rPr>
          <w:rFonts w:hint="eastAsia"/>
        </w:rPr>
        <w:t>16名评委补助费按照每人1000元标准共1.6万元；外地评委16名按照每人每天100元共5天计餐费0.8万元,外地评委16名5天住宿费2.4万元),接送专家租车费 1.6万元；</w:t>
      </w:r>
    </w:p>
    <w:p w:rsidR="00A22281" w:rsidRDefault="00B66ABB">
      <w:pPr>
        <w:ind w:firstLine="540"/>
      </w:pPr>
      <w:r>
        <w:rPr>
          <w:rFonts w:hint="eastAsia"/>
        </w:rPr>
        <w:t>（2）高层次人才组织40人休假疗养，按20人一批分2批1人带队，按8000元每人共1.6万元；</w:t>
      </w:r>
    </w:p>
    <w:p w:rsidR="00A22281" w:rsidRDefault="00B66ABB">
      <w:pPr>
        <w:ind w:firstLine="540"/>
      </w:pPr>
      <w:r>
        <w:rPr>
          <w:rFonts w:hint="eastAsia"/>
        </w:rPr>
        <w:t>（3）“老中青专家走基层”按每月两次，按每次10人每天每人100元生活补助、1000元租车费用标准，共4.8万元；</w:t>
      </w:r>
    </w:p>
    <w:p w:rsidR="00A22281" w:rsidRDefault="00B66ABB">
      <w:pPr>
        <w:ind w:firstLine="540"/>
      </w:pPr>
      <w:r>
        <w:rPr>
          <w:rFonts w:hint="eastAsia"/>
        </w:rPr>
        <w:t>（4）“万名干部下基层”活动督导工作按要求，每月1次，每次两天，按3人差旅费标准共1.296万元。</w:t>
      </w:r>
    </w:p>
    <w:p w:rsidR="00A22281" w:rsidRDefault="00B66ABB">
      <w:pPr>
        <w:ind w:firstLine="540"/>
      </w:pPr>
      <w:r>
        <w:rPr>
          <w:rFonts w:hint="eastAsia"/>
        </w:rPr>
        <w:t>本项目资金测算时根据相关标准，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A22281" w:rsidRDefault="00B66ABB">
      <w:pPr>
        <w:pStyle w:val="2"/>
        <w:ind w:firstLine="562"/>
      </w:pPr>
      <w:bookmarkStart w:id="27" w:name="_Toc32098"/>
      <w:bookmarkStart w:id="28" w:name="_Toc27494596"/>
      <w:r>
        <w:rPr>
          <w:rFonts w:hint="eastAsia"/>
        </w:rPr>
        <w:t>（四）实施方案可行性</w:t>
      </w:r>
      <w:bookmarkEnd w:id="27"/>
      <w:bookmarkEnd w:id="28"/>
    </w:p>
    <w:p w:rsidR="00A22281" w:rsidRDefault="00B66ABB">
      <w:pPr>
        <w:ind w:firstLine="540"/>
      </w:pPr>
      <w:r>
        <w:rPr>
          <w:rFonts w:hint="eastAsia"/>
        </w:rPr>
        <w:t>本项目严格根据《中共淄博市委、淄博市人民政府市委印发&lt;关于进一步推进人才优先发展的若干措施&gt;的通知》（</w:t>
      </w:r>
      <w:proofErr w:type="gramStart"/>
      <w:r>
        <w:rPr>
          <w:rFonts w:hint="eastAsia"/>
        </w:rPr>
        <w:t>淄</w:t>
      </w:r>
      <w:proofErr w:type="gramEnd"/>
      <w:r>
        <w:rPr>
          <w:rFonts w:hint="eastAsia"/>
        </w:rPr>
        <w:t>发〔2017〕34号）、《关于印发&lt;淄博市高层次人才服务专员管理办法&gt;的通知》（</w:t>
      </w:r>
      <w:proofErr w:type="gramStart"/>
      <w:r>
        <w:rPr>
          <w:rFonts w:hint="eastAsia"/>
        </w:rPr>
        <w:t>淄人社发</w:t>
      </w:r>
      <w:proofErr w:type="gramEnd"/>
      <w:r>
        <w:rPr>
          <w:rFonts w:hint="eastAsia"/>
        </w:rPr>
        <w:t>〔2018〕113号）以及《关于印发&lt;淄博市高层次人才服务绿色通道规定&gt;的通知》（</w:t>
      </w:r>
      <w:proofErr w:type="gramStart"/>
      <w:r>
        <w:rPr>
          <w:rFonts w:hint="eastAsia"/>
        </w:rPr>
        <w:t>淄人社发</w:t>
      </w:r>
      <w:proofErr w:type="gramEnd"/>
      <w:r>
        <w:rPr>
          <w:rFonts w:hint="eastAsia"/>
        </w:rPr>
        <w:t>〔2018〕114号）的文件要求</w:t>
      </w:r>
      <w:r w:rsidR="00BF78F2">
        <w:rPr>
          <w:rFonts w:hint="eastAsia"/>
        </w:rPr>
        <w:t>及部门职责</w:t>
      </w:r>
      <w:r>
        <w:rPr>
          <w:rFonts w:hint="eastAsia"/>
        </w:rPr>
        <w:t>进行。年初确定工作目标后，经会议研究决定组织实施。项目实施路线完整、合</w:t>
      </w:r>
      <w:r>
        <w:rPr>
          <w:rFonts w:hint="eastAsia"/>
        </w:rPr>
        <w:lastRenderedPageBreak/>
        <w:t>理，项目组织、进度安排合理，与项目有关的基础设施条件能够保障项目的顺利进行。</w:t>
      </w:r>
    </w:p>
    <w:p w:rsidR="007106E5" w:rsidRDefault="007106E5">
      <w:pPr>
        <w:ind w:firstLine="540"/>
      </w:pPr>
      <w:r w:rsidRPr="007106E5">
        <w:rPr>
          <w:rFonts w:hint="eastAsia"/>
        </w:rPr>
        <w:t>市</w:t>
      </w:r>
      <w:proofErr w:type="gramStart"/>
      <w:r w:rsidRPr="007106E5">
        <w:rPr>
          <w:rFonts w:hint="eastAsia"/>
        </w:rPr>
        <w:t>人社局内设人才</w:t>
      </w:r>
      <w:proofErr w:type="gramEnd"/>
      <w:r w:rsidRPr="007106E5">
        <w:rPr>
          <w:rFonts w:hint="eastAsia"/>
        </w:rPr>
        <w:t>开发科等相关科室，下设</w:t>
      </w:r>
      <w:r>
        <w:rPr>
          <w:rFonts w:hint="eastAsia"/>
        </w:rPr>
        <w:t>淄博市人才服务中心</w:t>
      </w:r>
      <w:r w:rsidRPr="007106E5">
        <w:rPr>
          <w:rFonts w:hint="eastAsia"/>
        </w:rPr>
        <w:t>等单位，科室及中心职能涵盖拟定全市专业技术人才和高技能人才规划、协调推进全市人才服务体系建设，高层次人才认定，办理高层次人才引进手续，发放企业引进博士、硕士补贴以及企业负责人引才补贴；落实就业、促进创业和基础性人才服务方面的法律法规和政策，统筹全市就业创业和基础性人才服务工作、负责创业带动就业的组织服务和实施；</w:t>
      </w:r>
      <w:r w:rsidR="002C13D2">
        <w:rPr>
          <w:rFonts w:hint="eastAsia"/>
        </w:rPr>
        <w:t>市</w:t>
      </w:r>
      <w:proofErr w:type="gramStart"/>
      <w:r w:rsidRPr="00FF2A29">
        <w:rPr>
          <w:rFonts w:hint="eastAsia"/>
        </w:rPr>
        <w:t>人社局</w:t>
      </w:r>
      <w:proofErr w:type="gramEnd"/>
      <w:r w:rsidRPr="00FF2A29">
        <w:rPr>
          <w:rFonts w:hint="eastAsia"/>
        </w:rPr>
        <w:t>有健全的内部审计管理办法、项目支出预算管理办法，对项目资金使用管理有明确规定，能够有效监督和评价单位财务收支、经济活动的真实性、合法性；有效保障项目支出程序的规范性，提高项目资金使用效益。项目申报、审批、调整及项目资金申请、审批、拨付等方面严格执行相关规定，履行程序规范。</w:t>
      </w:r>
    </w:p>
    <w:p w:rsidR="00A22281" w:rsidRDefault="002C13D2">
      <w:pPr>
        <w:ind w:firstLine="540"/>
      </w:pPr>
      <w:r w:rsidRPr="002C13D2">
        <w:rPr>
          <w:rFonts w:hint="eastAsia"/>
        </w:rPr>
        <w:t>项目内容明确，决策申报程序规范，项目预算编制有文件依据，且绩效目标与项目内容相匹配；市</w:t>
      </w:r>
      <w:proofErr w:type="gramStart"/>
      <w:r w:rsidRPr="002C13D2">
        <w:rPr>
          <w:rFonts w:hint="eastAsia"/>
        </w:rPr>
        <w:t>人社局</w:t>
      </w:r>
      <w:proofErr w:type="gramEnd"/>
      <w:r w:rsidRPr="002C13D2">
        <w:rPr>
          <w:rFonts w:hint="eastAsia"/>
        </w:rPr>
        <w:t>作为人才</w:t>
      </w:r>
      <w:r>
        <w:rPr>
          <w:rFonts w:hint="eastAsia"/>
        </w:rPr>
        <w:t>项目</w:t>
      </w:r>
      <w:r w:rsidRPr="002C13D2">
        <w:rPr>
          <w:rFonts w:hint="eastAsia"/>
        </w:rPr>
        <w:t>管理的职能部门，具有项目实施的专业知识储备与人才保障，部门组织机构健全，无不确定因素和风险，能够保障项目的顺利实施。</w:t>
      </w:r>
    </w:p>
    <w:p w:rsidR="00A22281" w:rsidRDefault="00B66ABB">
      <w:pPr>
        <w:pStyle w:val="2"/>
        <w:ind w:firstLine="562"/>
      </w:pPr>
      <w:bookmarkStart w:id="29" w:name="_Toc27494597"/>
      <w:bookmarkStart w:id="30" w:name="_Toc18715"/>
      <w:r>
        <w:rPr>
          <w:rFonts w:hint="eastAsia"/>
        </w:rPr>
        <w:t>（五）筹资合</w:t>
      </w:r>
      <w:proofErr w:type="gramStart"/>
      <w:r>
        <w:rPr>
          <w:rFonts w:hint="eastAsia"/>
        </w:rPr>
        <w:t>规</w:t>
      </w:r>
      <w:proofErr w:type="gramEnd"/>
      <w:r>
        <w:rPr>
          <w:rFonts w:hint="eastAsia"/>
        </w:rPr>
        <w:t>性</w:t>
      </w:r>
      <w:bookmarkEnd w:id="29"/>
      <w:bookmarkEnd w:id="30"/>
    </w:p>
    <w:p w:rsidR="00A22281" w:rsidRDefault="00B66ABB">
      <w:pPr>
        <w:ind w:firstLine="540"/>
      </w:pPr>
      <w:r>
        <w:rPr>
          <w:rFonts w:hint="eastAsia"/>
        </w:rPr>
        <w:t>本项目预算与绩效目标、项目内容相匹配，预算编制符合相关规定，编制依据充分，投入产出较为合理，属公共财政支持范围，财政支持方式科学合理。</w:t>
      </w:r>
    </w:p>
    <w:p w:rsidR="00A22281" w:rsidRDefault="00B66ABB">
      <w:pPr>
        <w:pStyle w:val="2"/>
        <w:ind w:firstLine="562"/>
      </w:pPr>
      <w:bookmarkStart w:id="31" w:name="_Toc24660"/>
      <w:bookmarkStart w:id="32" w:name="_Toc27494598"/>
      <w:r>
        <w:rPr>
          <w:rFonts w:hint="eastAsia"/>
        </w:rPr>
        <w:t>（六）总体结论</w:t>
      </w:r>
      <w:bookmarkEnd w:id="31"/>
      <w:bookmarkEnd w:id="32"/>
    </w:p>
    <w:p w:rsidR="00A22281" w:rsidRDefault="00B66ABB">
      <w:pPr>
        <w:ind w:firstLine="540"/>
      </w:pPr>
      <w:r>
        <w:rPr>
          <w:rFonts w:hint="eastAsia"/>
        </w:rPr>
        <w:t>项目相关性显著，绩效可实现性较强，实施过程控制有效，预期绩效具有一定可持续性，且财政资金投入风险可控。综合评价，对该项目应“予以支持”。</w:t>
      </w:r>
    </w:p>
    <w:p w:rsidR="00A22281" w:rsidRDefault="00B66ABB">
      <w:pPr>
        <w:pStyle w:val="1"/>
        <w:ind w:firstLine="600"/>
      </w:pPr>
      <w:bookmarkStart w:id="33" w:name="_Toc5170"/>
      <w:bookmarkStart w:id="34" w:name="_Toc27494599"/>
      <w:r>
        <w:rPr>
          <w:rFonts w:hint="eastAsia"/>
        </w:rPr>
        <w:lastRenderedPageBreak/>
        <w:t>四、评估的相关建议</w:t>
      </w:r>
      <w:bookmarkEnd w:id="33"/>
      <w:bookmarkEnd w:id="34"/>
    </w:p>
    <w:p w:rsidR="00A22281" w:rsidRDefault="00B66ABB">
      <w:pPr>
        <w:ind w:firstLine="540"/>
      </w:pPr>
      <w:r>
        <w:rPr>
          <w:rFonts w:hint="eastAsia"/>
        </w:rPr>
        <w:t>通过开展人才项目经费项目，推进淄博市高层次人才服务绿色通道服务事项落实落地，做好全市高层次人才服务专员业务指导和培训工作，为高层次人才提供精准化服务，是不断优化人才在淄博的创新创业环境的重要举措。建议从四个方面予以加强。</w:t>
      </w:r>
    </w:p>
    <w:p w:rsidR="00A22281" w:rsidRDefault="00B66ABB">
      <w:pPr>
        <w:ind w:firstLine="540"/>
      </w:pPr>
      <w:r>
        <w:rPr>
          <w:rFonts w:hint="eastAsia"/>
        </w:rPr>
        <w:t>第一，保证宣传力度以及宣传的持久性。宣传是使群众及时了解政策的重要途径，通过宣传加大群众对淄博市人才政策的了解，是加快淄博市高层次人才服务绿色通道服务事项落实落地的重要方式之一。要保证相关政策的宣传力度及宣传的持久性，如通过公众号、微博、报纸、电视等，多途径长期宣传，确保政策切实落地落实。</w:t>
      </w:r>
    </w:p>
    <w:p w:rsidR="00A22281" w:rsidRDefault="00B66ABB">
      <w:pPr>
        <w:ind w:firstLine="540"/>
      </w:pPr>
      <w:r>
        <w:rPr>
          <w:rFonts w:hint="eastAsia"/>
        </w:rPr>
        <w:t>第二，规范指导培训工作。在指导和培训高层次人才服务专员业务工作时，要保证培训活动的秩序安全，避免造成活动开展效率不高；加大培训人员的培训质量，保证培训的针对性，保障指导和培训内容行之有效。</w:t>
      </w:r>
    </w:p>
    <w:p w:rsidR="00A22281" w:rsidRDefault="00B66ABB">
      <w:pPr>
        <w:ind w:firstLine="540"/>
      </w:pPr>
      <w:r>
        <w:rPr>
          <w:rFonts w:hint="eastAsia"/>
        </w:rPr>
        <w:t>第三，加强调研人员工作前培训，确保调研的全面性、准确性和真实性。调研是客观的收集信息并研究分析，对未来发展趋势予以预测的重要手段。在开展调研过程前，要加强调研人员工作前培训，保证在调研过程</w:t>
      </w:r>
      <w:proofErr w:type="gramStart"/>
      <w:r>
        <w:rPr>
          <w:rFonts w:hint="eastAsia"/>
        </w:rPr>
        <w:t>中搜及信息</w:t>
      </w:r>
      <w:proofErr w:type="gramEnd"/>
      <w:r>
        <w:rPr>
          <w:rFonts w:hint="eastAsia"/>
        </w:rPr>
        <w:t>资料及后期分析的客观性及全面性，保证调研结果的准确性和真实性，保障调研质量。</w:t>
      </w:r>
    </w:p>
    <w:p w:rsidR="00A22281" w:rsidRDefault="00B66ABB">
      <w:pPr>
        <w:ind w:firstLine="540"/>
      </w:pPr>
      <w:r>
        <w:rPr>
          <w:rFonts w:hint="eastAsia"/>
          <w:szCs w:val="27"/>
        </w:rPr>
        <w:t>第四，加强财务监督工作，及时发现财政资金管理中存在的问题并加以改进。通过定期开展财务监督检查，及时发现资金管理中存在的不规范、不合</w:t>
      </w:r>
      <w:proofErr w:type="gramStart"/>
      <w:r>
        <w:rPr>
          <w:rFonts w:hint="eastAsia"/>
          <w:szCs w:val="27"/>
        </w:rPr>
        <w:t>规</w:t>
      </w:r>
      <w:proofErr w:type="gramEnd"/>
      <w:r>
        <w:rPr>
          <w:rFonts w:hint="eastAsia"/>
          <w:szCs w:val="27"/>
        </w:rPr>
        <w:t>的问题，并根据发现的问题及时分析问题产生的原因并通过适当的方式反馈给单位领导和相关部门人员，及时采取有效措施加以改进，不断提高财政资金管理水平。</w:t>
      </w:r>
    </w:p>
    <w:p w:rsidR="00A22281" w:rsidRDefault="00B66ABB">
      <w:pPr>
        <w:pStyle w:val="1"/>
        <w:ind w:firstLine="600"/>
      </w:pPr>
      <w:bookmarkStart w:id="35" w:name="_Toc27494600"/>
      <w:bookmarkStart w:id="36" w:name="_Toc17920"/>
      <w:r>
        <w:rPr>
          <w:rFonts w:hint="eastAsia"/>
        </w:rPr>
        <w:t>五、其他需要说明的问题</w:t>
      </w:r>
      <w:bookmarkEnd w:id="35"/>
      <w:bookmarkEnd w:id="36"/>
    </w:p>
    <w:p w:rsidR="00A22281" w:rsidRDefault="00B66ABB">
      <w:pPr>
        <w:ind w:firstLine="540"/>
      </w:pPr>
      <w:r>
        <w:rPr>
          <w:rFonts w:hint="eastAsia"/>
        </w:rPr>
        <w:t>本报告是评估机构根据淄博市人力资源和社会保障局所提供的材</w:t>
      </w:r>
      <w:r>
        <w:rPr>
          <w:rFonts w:hint="eastAsia"/>
        </w:rPr>
        <w:lastRenderedPageBreak/>
        <w:t>料进行全面分析与评估，结合现场考察情况，在专家评价意见的基础上综合形成的。报告重点针对项目2020年的预算申报进行评估，报告的结论与意见是参考性的，仅供财政部门批复预算时使用，不做其他用途。</w:t>
      </w:r>
    </w:p>
    <w:p w:rsidR="00A22281" w:rsidRDefault="00B66ABB">
      <w:pPr>
        <w:pStyle w:val="1"/>
        <w:ind w:firstLine="600"/>
      </w:pPr>
      <w:bookmarkStart w:id="37" w:name="_Toc26749"/>
      <w:bookmarkStart w:id="38" w:name="_Toc27494601"/>
      <w:r>
        <w:rPr>
          <w:rFonts w:hint="eastAsia"/>
        </w:rPr>
        <w:t>六、附件</w:t>
      </w:r>
      <w:bookmarkEnd w:id="37"/>
      <w:bookmarkEnd w:id="38"/>
    </w:p>
    <w:p w:rsidR="00A22281" w:rsidRDefault="00B66ABB">
      <w:pPr>
        <w:ind w:firstLine="540"/>
      </w:pPr>
      <w:r>
        <w:rPr>
          <w:rFonts w:hint="eastAsia"/>
        </w:rPr>
        <w:t>附件1：事前绩效评估评分指标体系</w:t>
      </w:r>
    </w:p>
    <w:p w:rsidR="00A22281" w:rsidRDefault="00B66ABB">
      <w:pPr>
        <w:ind w:firstLine="540"/>
      </w:pPr>
      <w:r>
        <w:rPr>
          <w:rFonts w:hint="eastAsia"/>
        </w:rPr>
        <w:t>附件2：项目支出绩效目标申报表</w:t>
      </w:r>
    </w:p>
    <w:p w:rsidR="00A22281" w:rsidRDefault="00B66ABB">
      <w:pPr>
        <w:ind w:firstLine="540"/>
      </w:pPr>
      <w:r>
        <w:rPr>
          <w:rFonts w:hint="eastAsia"/>
        </w:rPr>
        <w:t>附件3：专家及工作组情况表</w:t>
      </w:r>
    </w:p>
    <w:p w:rsidR="00A22281" w:rsidRDefault="00A22281">
      <w:pPr>
        <w:ind w:firstLine="540"/>
      </w:pPr>
    </w:p>
    <w:p w:rsidR="00A22281" w:rsidRDefault="00A22281">
      <w:pPr>
        <w:ind w:firstLine="540"/>
      </w:pPr>
    </w:p>
    <w:p w:rsidR="00A22281" w:rsidRDefault="00B66ABB">
      <w:pPr>
        <w:ind w:firstLine="540"/>
      </w:pPr>
      <w:r>
        <w:rPr>
          <w:rFonts w:hint="eastAsia"/>
        </w:rPr>
        <w:t xml:space="preserve">                       山东正源智库信息咨询有限公司</w:t>
      </w:r>
    </w:p>
    <w:p w:rsidR="00A22281" w:rsidRDefault="00B66ABB" w:rsidP="00A22281">
      <w:pPr>
        <w:ind w:firstLineChars="1774" w:firstLine="4790"/>
      </w:pPr>
      <w:r>
        <w:rPr>
          <w:rFonts w:hint="eastAsia"/>
        </w:rPr>
        <w:t>2019年12月</w:t>
      </w:r>
    </w:p>
    <w:sectPr w:rsidR="00A22281" w:rsidSect="00472E1F">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513" w:rsidRDefault="003B5513" w:rsidP="00472E1F">
      <w:pPr>
        <w:spacing w:line="240" w:lineRule="auto"/>
        <w:ind w:firstLine="540"/>
      </w:pPr>
      <w:r>
        <w:separator/>
      </w:r>
    </w:p>
  </w:endnote>
  <w:endnote w:type="continuationSeparator" w:id="0">
    <w:p w:rsidR="003B5513" w:rsidRDefault="003B5513" w:rsidP="00472E1F">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A22281">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A22281">
    <w:pPr>
      <w:pStyle w:val="a5"/>
      <w:ind w:firstLine="360"/>
      <w:jc w:val="center"/>
    </w:pPr>
  </w:p>
  <w:p w:rsidR="00A22281" w:rsidRDefault="00A22281">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A22281">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B66ABB">
    <w:pPr>
      <w:pStyle w:val="a5"/>
      <w:ind w:firstLine="360"/>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22281" w:rsidRDefault="00B66AB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673308">
                            <w:rPr>
                              <w:noProof/>
                            </w:rPr>
                            <w:t>5</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Hc3qom3AQAATgMAAA4AAAAAAAAAAAAAAAAALgIAAGRycy9lMm9Eb2MueG1s&#10;UEsBAi0AFAAGAAgAAAAhAAxK8O7WAAAABQEAAA8AAAAAAAAAAAAAAAAAEQQAAGRycy9kb3ducmV2&#10;LnhtbFBLBQYAAAAABAAEAPMAAAAUBQAAAAA=&#10;" filled="f" stroked="f">
              <v:textbox style="mso-fit-shape-to-text:t" inset="0,0,0,0">
                <w:txbxContent>
                  <w:p w:rsidR="00A22281" w:rsidRDefault="00B66AB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673308">
                      <w:rPr>
                        <w:noProof/>
                      </w:rPr>
                      <w:t>5</w:t>
                    </w:r>
                    <w:r>
                      <w:rPr>
                        <w:rFonts w:hint="eastAsia"/>
                      </w:rPr>
                      <w:fldChar w:fldCharType="end"/>
                    </w:r>
                  </w:p>
                </w:txbxContent>
              </v:textbox>
              <w10:wrap anchorx="margin"/>
            </v:shape>
          </w:pict>
        </mc:Fallback>
      </mc:AlternateContent>
    </w:r>
  </w:p>
  <w:p w:rsidR="00A22281" w:rsidRDefault="00A22281">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B66ABB">
    <w:pPr>
      <w:pStyle w:val="a5"/>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22281" w:rsidRDefault="00B66AB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673308">
                            <w:rPr>
                              <w:noProof/>
                            </w:rPr>
                            <w:t>1</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QStAArkBAABVAwAADgAAAAAAAAAAAAAAAAAuAgAAZHJzL2Uyb0RvYy54&#10;bWxQSwECLQAUAAYACAAAACEADErw7tYAAAAFAQAADwAAAAAAAAAAAAAAAAATBAAAZHJzL2Rvd25y&#10;ZXYueG1sUEsFBgAAAAAEAAQA8wAAABYFAAAAAA==&#10;" filled="f" stroked="f">
              <v:textbox style="mso-fit-shape-to-text:t" inset="0,0,0,0">
                <w:txbxContent>
                  <w:p w:rsidR="00A22281" w:rsidRDefault="00B66AB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673308">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513" w:rsidRDefault="003B5513" w:rsidP="00472E1F">
      <w:pPr>
        <w:spacing w:line="240" w:lineRule="auto"/>
        <w:ind w:firstLine="540"/>
      </w:pPr>
      <w:r>
        <w:separator/>
      </w:r>
    </w:p>
  </w:footnote>
  <w:footnote w:type="continuationSeparator" w:id="0">
    <w:p w:rsidR="003B5513" w:rsidRDefault="003B5513" w:rsidP="00472E1F">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A22281">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B66ABB">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A22281">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281" w:rsidRDefault="00B66ABB">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202EE"/>
    <w:rsid w:val="001227E7"/>
    <w:rsid w:val="001349CA"/>
    <w:rsid w:val="001A771F"/>
    <w:rsid w:val="00274A96"/>
    <w:rsid w:val="002C13D2"/>
    <w:rsid w:val="002E5323"/>
    <w:rsid w:val="003B5513"/>
    <w:rsid w:val="003B70EB"/>
    <w:rsid w:val="004205BE"/>
    <w:rsid w:val="004312E4"/>
    <w:rsid w:val="00472E1F"/>
    <w:rsid w:val="004C5417"/>
    <w:rsid w:val="004F48F9"/>
    <w:rsid w:val="005138F3"/>
    <w:rsid w:val="005D7BB7"/>
    <w:rsid w:val="00673308"/>
    <w:rsid w:val="00690D45"/>
    <w:rsid w:val="006A6F6E"/>
    <w:rsid w:val="006E2188"/>
    <w:rsid w:val="007106E5"/>
    <w:rsid w:val="007B5F86"/>
    <w:rsid w:val="007D24A3"/>
    <w:rsid w:val="00841720"/>
    <w:rsid w:val="008555A3"/>
    <w:rsid w:val="008E3694"/>
    <w:rsid w:val="008F10F8"/>
    <w:rsid w:val="00923C3A"/>
    <w:rsid w:val="009844F8"/>
    <w:rsid w:val="009A245B"/>
    <w:rsid w:val="00A22281"/>
    <w:rsid w:val="00B66ABB"/>
    <w:rsid w:val="00BE006F"/>
    <w:rsid w:val="00BF78F2"/>
    <w:rsid w:val="00C375C9"/>
    <w:rsid w:val="00C616B3"/>
    <w:rsid w:val="00C666CC"/>
    <w:rsid w:val="00C74BC2"/>
    <w:rsid w:val="00CC13FE"/>
    <w:rsid w:val="00CE557F"/>
    <w:rsid w:val="00CF4BC0"/>
    <w:rsid w:val="00DD5155"/>
    <w:rsid w:val="00E04BC3"/>
    <w:rsid w:val="00E11E57"/>
    <w:rsid w:val="00EA4DDD"/>
    <w:rsid w:val="00EE6387"/>
    <w:rsid w:val="00F53CCB"/>
    <w:rsid w:val="00FB096B"/>
    <w:rsid w:val="00FF2A29"/>
    <w:rsid w:val="00FF54C6"/>
    <w:rsid w:val="02123CF8"/>
    <w:rsid w:val="02F26BE9"/>
    <w:rsid w:val="02F864DD"/>
    <w:rsid w:val="04516187"/>
    <w:rsid w:val="070B7E87"/>
    <w:rsid w:val="07A87AEE"/>
    <w:rsid w:val="07BE55C2"/>
    <w:rsid w:val="081B69C8"/>
    <w:rsid w:val="095738AA"/>
    <w:rsid w:val="0A9B412A"/>
    <w:rsid w:val="0ACA1C79"/>
    <w:rsid w:val="0E2F1E9D"/>
    <w:rsid w:val="121748AA"/>
    <w:rsid w:val="12881931"/>
    <w:rsid w:val="12BC2F5B"/>
    <w:rsid w:val="143B464D"/>
    <w:rsid w:val="14C7413B"/>
    <w:rsid w:val="179C5511"/>
    <w:rsid w:val="186279D8"/>
    <w:rsid w:val="1872454F"/>
    <w:rsid w:val="19550BA4"/>
    <w:rsid w:val="19A42670"/>
    <w:rsid w:val="1A663D37"/>
    <w:rsid w:val="1AA16578"/>
    <w:rsid w:val="1D626263"/>
    <w:rsid w:val="1DDE735C"/>
    <w:rsid w:val="1E607EB8"/>
    <w:rsid w:val="1F6A4402"/>
    <w:rsid w:val="1F973786"/>
    <w:rsid w:val="20E241F1"/>
    <w:rsid w:val="20EA0769"/>
    <w:rsid w:val="219E7F72"/>
    <w:rsid w:val="222C13D1"/>
    <w:rsid w:val="22E029B2"/>
    <w:rsid w:val="2300513D"/>
    <w:rsid w:val="25AE1798"/>
    <w:rsid w:val="267F0896"/>
    <w:rsid w:val="26C84CC1"/>
    <w:rsid w:val="286D48B4"/>
    <w:rsid w:val="28B46F1E"/>
    <w:rsid w:val="2943732D"/>
    <w:rsid w:val="297A5283"/>
    <w:rsid w:val="2B0C5C2B"/>
    <w:rsid w:val="2BCD544D"/>
    <w:rsid w:val="2C2A5C92"/>
    <w:rsid w:val="2D24521E"/>
    <w:rsid w:val="2D743BB5"/>
    <w:rsid w:val="2D9C4135"/>
    <w:rsid w:val="2DA936E5"/>
    <w:rsid w:val="306529FA"/>
    <w:rsid w:val="30C227F7"/>
    <w:rsid w:val="31ED13C5"/>
    <w:rsid w:val="3398544A"/>
    <w:rsid w:val="348E4A14"/>
    <w:rsid w:val="34F236C9"/>
    <w:rsid w:val="356D3034"/>
    <w:rsid w:val="3577246B"/>
    <w:rsid w:val="35785212"/>
    <w:rsid w:val="3AB236CB"/>
    <w:rsid w:val="3C262C01"/>
    <w:rsid w:val="3C4101CB"/>
    <w:rsid w:val="3EAE16FC"/>
    <w:rsid w:val="3ED84BBB"/>
    <w:rsid w:val="3F2C2F39"/>
    <w:rsid w:val="3F9B68F6"/>
    <w:rsid w:val="40790308"/>
    <w:rsid w:val="408302C5"/>
    <w:rsid w:val="40BE6958"/>
    <w:rsid w:val="40E07E48"/>
    <w:rsid w:val="44FC446E"/>
    <w:rsid w:val="45CD02D3"/>
    <w:rsid w:val="460A4F3C"/>
    <w:rsid w:val="46285904"/>
    <w:rsid w:val="476C5316"/>
    <w:rsid w:val="48A64073"/>
    <w:rsid w:val="4A662CA5"/>
    <w:rsid w:val="4AC72AC1"/>
    <w:rsid w:val="4B1F63C6"/>
    <w:rsid w:val="4CEF2809"/>
    <w:rsid w:val="4DA175A0"/>
    <w:rsid w:val="4DBE638F"/>
    <w:rsid w:val="4DC94522"/>
    <w:rsid w:val="4DCD3872"/>
    <w:rsid w:val="514E7C9E"/>
    <w:rsid w:val="51D6185B"/>
    <w:rsid w:val="53902BFD"/>
    <w:rsid w:val="53C60EE3"/>
    <w:rsid w:val="54326A7C"/>
    <w:rsid w:val="5479460F"/>
    <w:rsid w:val="55327EF6"/>
    <w:rsid w:val="55675BFD"/>
    <w:rsid w:val="55B8069E"/>
    <w:rsid w:val="55E362D0"/>
    <w:rsid w:val="56F10359"/>
    <w:rsid w:val="578E267B"/>
    <w:rsid w:val="57E76458"/>
    <w:rsid w:val="57EF1459"/>
    <w:rsid w:val="580C454D"/>
    <w:rsid w:val="58376C3B"/>
    <w:rsid w:val="5AEE606A"/>
    <w:rsid w:val="5B682214"/>
    <w:rsid w:val="5E43540A"/>
    <w:rsid w:val="60596EBE"/>
    <w:rsid w:val="60AD242F"/>
    <w:rsid w:val="63F35E30"/>
    <w:rsid w:val="64AA5151"/>
    <w:rsid w:val="64FE5C11"/>
    <w:rsid w:val="6738479A"/>
    <w:rsid w:val="67485FC5"/>
    <w:rsid w:val="68237055"/>
    <w:rsid w:val="68881FF7"/>
    <w:rsid w:val="6A8B71D5"/>
    <w:rsid w:val="6AD1426A"/>
    <w:rsid w:val="6CEA7EF2"/>
    <w:rsid w:val="6CF500B8"/>
    <w:rsid w:val="6DC7129E"/>
    <w:rsid w:val="6E62458A"/>
    <w:rsid w:val="6F1F53D5"/>
    <w:rsid w:val="6FB27921"/>
    <w:rsid w:val="706115A5"/>
    <w:rsid w:val="70ED00AA"/>
    <w:rsid w:val="710638E3"/>
    <w:rsid w:val="711E3A6B"/>
    <w:rsid w:val="7247066E"/>
    <w:rsid w:val="74F06C48"/>
    <w:rsid w:val="76153B93"/>
    <w:rsid w:val="763D4735"/>
    <w:rsid w:val="76E47E03"/>
    <w:rsid w:val="77632943"/>
    <w:rsid w:val="781613DA"/>
    <w:rsid w:val="7820274C"/>
    <w:rsid w:val="7872319A"/>
    <w:rsid w:val="79DD4B91"/>
    <w:rsid w:val="7A7612DD"/>
    <w:rsid w:val="7AC63CEC"/>
    <w:rsid w:val="7B214253"/>
    <w:rsid w:val="7B634C36"/>
    <w:rsid w:val="7E564250"/>
    <w:rsid w:val="7EE073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basedOn w:val="a"/>
    <w:next w:val="a"/>
    <w:link w:val="1Char"/>
    <w:uiPriority w:val="9"/>
    <w:qFormat/>
    <w:pPr>
      <w:keepNext/>
      <w:keepLines/>
      <w:outlineLvl w:val="0"/>
    </w:pPr>
    <w:rPr>
      <w:rFonts w:ascii="黑体" w:eastAsia="黑体" w:cs="Times New Roman"/>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link w:val="3Char"/>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character" w:styleId="a8">
    <w:name w:val="Hyperlink"/>
    <w:basedOn w:val="a0"/>
    <w:uiPriority w:val="99"/>
    <w:unhideWhenUsed/>
    <w:qFormat/>
    <w:rPr>
      <w:color w:val="0563C1" w:themeColor="hyperlink"/>
      <w:u w:val="single"/>
    </w:rPr>
  </w:style>
  <w:style w:type="paragraph" w:customStyle="1" w:styleId="a9">
    <w:name w:val="报告标题"/>
    <w:basedOn w:val="a"/>
    <w:qFormat/>
    <w:pPr>
      <w:ind w:firstLine="540"/>
      <w:jc w:val="center"/>
    </w:pPr>
    <w:rPr>
      <w:rFonts w:ascii="Times New Roman" w:hAnsi="Times New Roman" w:cs="Times New Roman"/>
      <w:b/>
      <w:sz w:val="44"/>
    </w:rPr>
  </w:style>
  <w:style w:type="paragraph" w:customStyle="1" w:styleId="aa">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b">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3Char">
    <w:name w:val="标题 3 Char"/>
    <w:link w:val="3"/>
    <w:uiPriority w:val="9"/>
    <w:qFormat/>
    <w:rPr>
      <w:rFonts w:ascii="楷体" w:eastAsia="楷体" w:cs="Times New Roman"/>
      <w:b/>
      <w:bCs/>
      <w:sz w:val="28"/>
      <w:szCs w:val="32"/>
    </w:rPr>
  </w:style>
  <w:style w:type="character" w:customStyle="1" w:styleId="1Char">
    <w:name w:val="标题 1 Char"/>
    <w:link w:val="1"/>
    <w:uiPriority w:val="9"/>
    <w:qFormat/>
    <w:rPr>
      <w:rFonts w:ascii="黑体" w:eastAsia="黑体" w:hAnsi="宋体" w:cs="Times New Roman"/>
      <w:bCs/>
      <w:kern w:val="44"/>
      <w:sz w:val="30"/>
      <w:szCs w:val="44"/>
      <w:lang w:val="en-US" w:eastAsia="zh-CN" w:bidi="ar-SA"/>
    </w:rPr>
  </w:style>
  <w:style w:type="paragraph" w:customStyle="1" w:styleId="TOC1">
    <w:name w:val="TOC 标题1"/>
    <w:basedOn w:val="1"/>
    <w:next w:val="a"/>
    <w:uiPriority w:val="39"/>
    <w:semiHidden/>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TOC2">
    <w:name w:val="TOC 标题2"/>
    <w:basedOn w:val="1"/>
    <w:next w:val="a"/>
    <w:uiPriority w:val="39"/>
    <w:semiHidden/>
    <w:unhideWhenUsed/>
    <w:qFormat/>
    <w:pPr>
      <w:widowControl/>
      <w:adjustRightInd/>
      <w:snapToGrid/>
      <w:spacing w:before="48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basedOn w:val="a"/>
    <w:next w:val="a"/>
    <w:link w:val="1Char"/>
    <w:uiPriority w:val="9"/>
    <w:qFormat/>
    <w:pPr>
      <w:keepNext/>
      <w:keepLines/>
      <w:outlineLvl w:val="0"/>
    </w:pPr>
    <w:rPr>
      <w:rFonts w:ascii="黑体" w:eastAsia="黑体" w:cs="Times New Roman"/>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link w:val="3Char"/>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character" w:styleId="a8">
    <w:name w:val="Hyperlink"/>
    <w:basedOn w:val="a0"/>
    <w:uiPriority w:val="99"/>
    <w:unhideWhenUsed/>
    <w:qFormat/>
    <w:rPr>
      <w:color w:val="0563C1" w:themeColor="hyperlink"/>
      <w:u w:val="single"/>
    </w:rPr>
  </w:style>
  <w:style w:type="paragraph" w:customStyle="1" w:styleId="a9">
    <w:name w:val="报告标题"/>
    <w:basedOn w:val="a"/>
    <w:qFormat/>
    <w:pPr>
      <w:ind w:firstLine="540"/>
      <w:jc w:val="center"/>
    </w:pPr>
    <w:rPr>
      <w:rFonts w:ascii="Times New Roman" w:hAnsi="Times New Roman" w:cs="Times New Roman"/>
      <w:b/>
      <w:sz w:val="44"/>
    </w:rPr>
  </w:style>
  <w:style w:type="paragraph" w:customStyle="1" w:styleId="aa">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b">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3Char">
    <w:name w:val="标题 3 Char"/>
    <w:link w:val="3"/>
    <w:uiPriority w:val="9"/>
    <w:qFormat/>
    <w:rPr>
      <w:rFonts w:ascii="楷体" w:eastAsia="楷体" w:cs="Times New Roman"/>
      <w:b/>
      <w:bCs/>
      <w:sz w:val="28"/>
      <w:szCs w:val="32"/>
    </w:rPr>
  </w:style>
  <w:style w:type="character" w:customStyle="1" w:styleId="1Char">
    <w:name w:val="标题 1 Char"/>
    <w:link w:val="1"/>
    <w:uiPriority w:val="9"/>
    <w:qFormat/>
    <w:rPr>
      <w:rFonts w:ascii="黑体" w:eastAsia="黑体" w:hAnsi="宋体" w:cs="Times New Roman"/>
      <w:bCs/>
      <w:kern w:val="44"/>
      <w:sz w:val="30"/>
      <w:szCs w:val="44"/>
      <w:lang w:val="en-US" w:eastAsia="zh-CN" w:bidi="ar-SA"/>
    </w:rPr>
  </w:style>
  <w:style w:type="paragraph" w:customStyle="1" w:styleId="TOC1">
    <w:name w:val="TOC 标题1"/>
    <w:basedOn w:val="1"/>
    <w:next w:val="a"/>
    <w:uiPriority w:val="39"/>
    <w:semiHidden/>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TOC2">
    <w:name w:val="TOC 标题2"/>
    <w:basedOn w:val="1"/>
    <w:next w:val="a"/>
    <w:uiPriority w:val="39"/>
    <w:semiHidden/>
    <w:unhideWhenUsed/>
    <w:qFormat/>
    <w:pPr>
      <w:widowControl/>
      <w:adjustRightInd/>
      <w:snapToGrid/>
      <w:spacing w:before="48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4E537-BEC4-4F1E-B055-45921B52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1064</Words>
  <Characters>6067</Characters>
  <Application>Microsoft Office Word</Application>
  <DocSecurity>0</DocSecurity>
  <Lines>50</Lines>
  <Paragraphs>14</Paragraphs>
  <ScaleCrop>false</ScaleCrop>
  <Company/>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10</cp:revision>
  <dcterms:created xsi:type="dcterms:W3CDTF">2019-11-08T07:27:00Z</dcterms:created>
  <dcterms:modified xsi:type="dcterms:W3CDTF">2020-05-13T05:37:00Z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