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CD2453">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4329F2" w:rsidRDefault="004329F2">
      <w:pPr>
        <w:adjustRightInd w:val="0"/>
        <w:snapToGrid w:val="0"/>
        <w:spacing w:line="360" w:lineRule="auto"/>
        <w:ind w:firstLineChars="200" w:firstLine="640"/>
        <w:rPr>
          <w:rFonts w:ascii="仿宋_GB2312" w:eastAsia="仿宋_GB2312" w:hAnsi="Calibri"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hint="eastAsia"/>
          <w:sz w:val="32"/>
          <w:szCs w:val="32"/>
        </w:rPr>
      </w:pPr>
    </w:p>
    <w:p w:rsidR="006709C7" w:rsidRDefault="006709C7">
      <w:pPr>
        <w:adjustRightInd w:val="0"/>
        <w:snapToGrid w:val="0"/>
        <w:spacing w:line="360" w:lineRule="auto"/>
        <w:ind w:firstLineChars="200" w:firstLine="640"/>
        <w:rPr>
          <w:rFonts w:ascii="仿宋_GB2312" w:eastAsia="仿宋_GB2312" w:cs="仿宋_GB2312" w:hint="eastAsia"/>
          <w:sz w:val="32"/>
          <w:szCs w:val="32"/>
        </w:rPr>
      </w:pPr>
    </w:p>
    <w:p w:rsidR="006709C7" w:rsidRPr="006709C7" w:rsidRDefault="006709C7">
      <w:pPr>
        <w:adjustRightInd w:val="0"/>
        <w:snapToGrid w:val="0"/>
        <w:spacing w:line="360" w:lineRule="auto"/>
        <w:ind w:firstLineChars="200" w:firstLine="640"/>
        <w:rPr>
          <w:rFonts w:ascii="仿宋_GB2312" w:eastAsia="仿宋_GB2312" w:cs="仿宋_GB2312"/>
          <w:sz w:val="32"/>
          <w:szCs w:val="32"/>
        </w:rPr>
      </w:pPr>
      <w:bookmarkStart w:id="0" w:name="_GoBack"/>
      <w:bookmarkEnd w:id="0"/>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4329F2">
      <w:pPr>
        <w:adjustRightInd w:val="0"/>
        <w:snapToGrid w:val="0"/>
        <w:spacing w:line="360" w:lineRule="auto"/>
        <w:ind w:firstLineChars="200" w:firstLine="640"/>
        <w:rPr>
          <w:rFonts w:ascii="仿宋_GB2312" w:eastAsia="仿宋_GB2312" w:cs="仿宋_GB2312"/>
          <w:sz w:val="32"/>
          <w:szCs w:val="32"/>
        </w:rPr>
      </w:pPr>
    </w:p>
    <w:p w:rsidR="004329F2" w:rsidRDefault="00CD2453">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项目名称：退休证等大宗印刷费项目</w:t>
      </w:r>
    </w:p>
    <w:p w:rsidR="004329F2" w:rsidRDefault="00CD2453">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4329F2" w:rsidRDefault="00CD2453">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4329F2" w:rsidRDefault="00CD2453">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评估日期：2019年12月</w:t>
      </w:r>
    </w:p>
    <w:p w:rsidR="004329F2" w:rsidRDefault="004329F2">
      <w:pPr>
        <w:spacing w:line="360" w:lineRule="auto"/>
        <w:rPr>
          <w:rFonts w:ascii="宋体" w:eastAsia="宋体" w:hAnsi="宋体" w:cs="宋体"/>
          <w:sz w:val="27"/>
          <w:szCs w:val="22"/>
          <w:lang w:bidi="ar"/>
        </w:rPr>
        <w:sectPr w:rsidR="004329F2" w:rsidSect="00AA7E80">
          <w:headerReference w:type="default" r:id="rId9"/>
          <w:footerReference w:type="default" r:id="rId10"/>
          <w:pgSz w:w="11906" w:h="16838"/>
          <w:pgMar w:top="1440" w:right="1800" w:bottom="1440" w:left="1800" w:header="851" w:footer="992" w:gutter="0"/>
          <w:cols w:space="425"/>
          <w:titlePg/>
          <w:docGrid w:type="lines" w:linePitch="312"/>
        </w:sectPr>
      </w:pPr>
    </w:p>
    <w:p w:rsidR="004329F2" w:rsidRDefault="00CD2453">
      <w:pPr>
        <w:pStyle w:val="msotocheading0"/>
        <w:ind w:firstLine="540"/>
        <w:jc w:val="center"/>
        <w:rPr>
          <w:rFonts w:cs="宋体"/>
          <w:color w:val="auto"/>
          <w:sz w:val="36"/>
          <w:szCs w:val="36"/>
          <w:lang w:val="zh-CN"/>
        </w:rPr>
      </w:pPr>
      <w:bookmarkStart w:id="1" w:name="_Toc24688"/>
      <w:r>
        <w:rPr>
          <w:rFonts w:cs="宋体" w:hint="eastAsia"/>
          <w:color w:val="auto"/>
          <w:sz w:val="36"/>
          <w:szCs w:val="36"/>
          <w:lang w:val="zh-CN"/>
        </w:rPr>
        <w:lastRenderedPageBreak/>
        <w:t>目</w:t>
      </w:r>
      <w:r>
        <w:rPr>
          <w:rFonts w:cs="宋体" w:hint="eastAsia"/>
          <w:color w:val="auto"/>
          <w:sz w:val="36"/>
          <w:szCs w:val="36"/>
        </w:rPr>
        <w:t xml:space="preserve"> </w:t>
      </w:r>
      <w:r>
        <w:rPr>
          <w:rFonts w:cs="宋体" w:hint="eastAsia"/>
          <w:color w:val="auto"/>
          <w:sz w:val="36"/>
          <w:szCs w:val="36"/>
          <w:lang w:val="zh-CN"/>
        </w:rPr>
        <w:t>录</w:t>
      </w:r>
    </w:p>
    <w:p w:rsidR="00AA7E80" w:rsidRPr="00AA7E80" w:rsidRDefault="00AA7E80" w:rsidP="00AA7E80">
      <w:pPr>
        <w:rPr>
          <w:lang w:val="zh-CN"/>
        </w:rPr>
      </w:pPr>
    </w:p>
    <w:p w:rsidR="004329F2" w:rsidRDefault="00CD2453" w:rsidP="00AA7E80">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6"/>
            <w:b/>
            <w:noProof/>
            <w:color w:val="000000"/>
          </w:rPr>
          <w:t>一、评估对象</w:t>
        </w:r>
        <w:r>
          <w:rPr>
            <w:rStyle w:val="a6"/>
            <w:b/>
            <w:noProof/>
            <w:color w:val="000000"/>
            <w:u w:val="none"/>
          </w:rPr>
          <w:tab/>
        </w:r>
        <w:r>
          <w:rPr>
            <w:rStyle w:val="a6"/>
            <w:noProof/>
          </w:rPr>
          <w:fldChar w:fldCharType="begin"/>
        </w:r>
        <w:r>
          <w:rPr>
            <w:rStyle w:val="a6"/>
            <w:b/>
            <w:noProof/>
            <w:color w:val="000000"/>
            <w:u w:val="none"/>
          </w:rPr>
          <w:instrText xml:space="preserve"> PAGEREF _Toc27494583 \h </w:instrText>
        </w:r>
        <w:r>
          <w:rPr>
            <w:rStyle w:val="a6"/>
            <w:noProof/>
          </w:rPr>
        </w:r>
        <w:r>
          <w:rPr>
            <w:rStyle w:val="a6"/>
            <w:b/>
            <w:noProof/>
            <w:color w:val="000000"/>
            <w:u w:val="none"/>
          </w:rPr>
          <w:fldChar w:fldCharType="separate"/>
        </w:r>
        <w:r w:rsidR="00AA7E80">
          <w:rPr>
            <w:rStyle w:val="a6"/>
            <w:rFonts w:hint="default"/>
            <w:b/>
            <w:noProof/>
            <w:color w:val="000000"/>
            <w:u w:val="none"/>
          </w:rPr>
          <w:t>2</w:t>
        </w:r>
        <w:r>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84" w:history="1">
        <w:r w:rsidR="00CD2453">
          <w:rPr>
            <w:rStyle w:val="a6"/>
            <w:noProof/>
            <w:color w:val="000000"/>
          </w:rPr>
          <w:t>（一）项目名称</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_Toc27494584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2</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85" w:history="1">
        <w:r w:rsidR="00CD2453">
          <w:rPr>
            <w:rStyle w:val="a6"/>
            <w:noProof/>
            <w:color w:val="000000"/>
          </w:rPr>
          <w:t>（二）项目绩效目标</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_Toc27494585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2</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86" w:history="1">
        <w:r w:rsidR="00CD2453">
          <w:rPr>
            <w:rStyle w:val="a6"/>
            <w:noProof/>
            <w:color w:val="000000"/>
          </w:rPr>
          <w:t>（三）项目资金构成</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_Toc27494586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2</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87" w:history="1">
        <w:r w:rsidR="00CD2453">
          <w:rPr>
            <w:rStyle w:val="a6"/>
            <w:noProof/>
            <w:color w:val="000000"/>
          </w:rPr>
          <w:t>（四）项目概况</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_Toc27494587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2</w:t>
        </w:r>
        <w:r w:rsidR="00CD2453">
          <w:rPr>
            <w:rStyle w:val="a6"/>
            <w:noProof/>
          </w:rPr>
          <w:fldChar w:fldCharType="end"/>
        </w:r>
      </w:hyperlink>
    </w:p>
    <w:p w:rsidR="004329F2" w:rsidRDefault="00A51892" w:rsidP="00AA7E80">
      <w:pPr>
        <w:pStyle w:val="10"/>
        <w:widowControl/>
        <w:tabs>
          <w:tab w:val="right" w:leader="dot" w:pos="8296"/>
        </w:tabs>
        <w:ind w:firstLineChars="0" w:firstLine="0"/>
        <w:rPr>
          <w:rFonts w:ascii="Calibri" w:hAnsi="Calibri" w:hint="default"/>
          <w:b/>
          <w:noProof/>
          <w:sz w:val="21"/>
        </w:rPr>
      </w:pPr>
      <w:hyperlink w:anchor="_Toc27494588" w:history="1">
        <w:r w:rsidR="00CD2453">
          <w:rPr>
            <w:rStyle w:val="a6"/>
            <w:b/>
            <w:noProof/>
            <w:color w:val="000000"/>
          </w:rPr>
          <w:t>二、事前绩效评估的基本情况</w:t>
        </w:r>
        <w:r w:rsidR="00CD2453">
          <w:rPr>
            <w:rStyle w:val="a6"/>
            <w:b/>
            <w:noProof/>
            <w:color w:val="000000"/>
            <w:u w:val="none"/>
          </w:rPr>
          <w:tab/>
        </w:r>
        <w:r w:rsidR="00CD2453">
          <w:rPr>
            <w:rStyle w:val="a6"/>
            <w:noProof/>
          </w:rPr>
          <w:fldChar w:fldCharType="begin"/>
        </w:r>
        <w:r w:rsidR="00CD2453">
          <w:rPr>
            <w:rStyle w:val="a6"/>
            <w:b/>
            <w:noProof/>
            <w:color w:val="000000"/>
            <w:u w:val="none"/>
          </w:rPr>
          <w:instrText xml:space="preserve"> PAGEREF _Toc27494588 \h </w:instrText>
        </w:r>
        <w:r w:rsidR="00CD2453">
          <w:rPr>
            <w:rStyle w:val="a6"/>
            <w:noProof/>
          </w:rPr>
        </w:r>
        <w:r w:rsidR="00CD2453">
          <w:rPr>
            <w:rStyle w:val="a6"/>
            <w:b/>
            <w:noProof/>
            <w:color w:val="000000"/>
            <w:u w:val="none"/>
          </w:rPr>
          <w:fldChar w:fldCharType="separate"/>
        </w:r>
        <w:r w:rsidR="00AA7E80">
          <w:rPr>
            <w:rStyle w:val="a6"/>
            <w:rFonts w:hint="default"/>
            <w:b/>
            <w:noProof/>
            <w:color w:val="000000"/>
            <w:u w:val="none"/>
          </w:rPr>
          <w:t>2</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89" w:history="1">
        <w:r w:rsidR="00CD2453">
          <w:rPr>
            <w:rStyle w:val="a6"/>
            <w:noProof/>
            <w:color w:val="000000"/>
          </w:rPr>
          <w:t>（一）评估程序</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_Toc27494589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2</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0" w:history="1">
        <w:r w:rsidR="00CD2453">
          <w:rPr>
            <w:rStyle w:val="a6"/>
            <w:noProof/>
            <w:color w:val="000000"/>
          </w:rPr>
          <w:t>（二）评估思路</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_Toc27494590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3</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1" w:history="1">
        <w:r w:rsidR="00CD2453">
          <w:rPr>
            <w:rStyle w:val="a6"/>
            <w:noProof/>
            <w:color w:val="000000"/>
          </w:rPr>
          <w:t>（三）评估方式、方法</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_Toc27494591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3</w:t>
        </w:r>
        <w:r w:rsidR="00CD2453">
          <w:rPr>
            <w:rStyle w:val="a6"/>
            <w:noProof/>
          </w:rPr>
          <w:fldChar w:fldCharType="end"/>
        </w:r>
      </w:hyperlink>
    </w:p>
    <w:p w:rsidR="004329F2" w:rsidRDefault="00A51892" w:rsidP="00AA7E80">
      <w:pPr>
        <w:pStyle w:val="10"/>
        <w:widowControl/>
        <w:tabs>
          <w:tab w:val="right" w:leader="dot" w:pos="8296"/>
        </w:tabs>
        <w:ind w:firstLineChars="0" w:firstLine="0"/>
        <w:rPr>
          <w:rFonts w:ascii="Calibri" w:hAnsi="Calibri" w:hint="default"/>
          <w:b/>
          <w:noProof/>
          <w:sz w:val="21"/>
        </w:rPr>
      </w:pPr>
      <w:hyperlink w:anchor="_Toc27494592" w:history="1">
        <w:r w:rsidR="00CD2453">
          <w:rPr>
            <w:rStyle w:val="a6"/>
            <w:b/>
            <w:noProof/>
            <w:color w:val="000000"/>
          </w:rPr>
          <w:t>三、评估内容和结论</w:t>
        </w:r>
        <w:r w:rsidR="00CD2453">
          <w:rPr>
            <w:rStyle w:val="a6"/>
            <w:b/>
            <w:noProof/>
            <w:color w:val="000000"/>
            <w:u w:val="none"/>
          </w:rPr>
          <w:tab/>
        </w:r>
        <w:r w:rsidR="00CD2453">
          <w:rPr>
            <w:rStyle w:val="a6"/>
            <w:noProof/>
          </w:rPr>
          <w:fldChar w:fldCharType="begin"/>
        </w:r>
        <w:r w:rsidR="00CD2453">
          <w:rPr>
            <w:rStyle w:val="a6"/>
            <w:b/>
            <w:noProof/>
            <w:color w:val="000000"/>
            <w:u w:val="none"/>
          </w:rPr>
          <w:instrText xml:space="preserve"> PAGEREF _Toc27494592 \h </w:instrText>
        </w:r>
        <w:r w:rsidR="00CD2453">
          <w:rPr>
            <w:rStyle w:val="a6"/>
            <w:noProof/>
          </w:rPr>
        </w:r>
        <w:r w:rsidR="00CD2453">
          <w:rPr>
            <w:rStyle w:val="a6"/>
            <w:b/>
            <w:noProof/>
            <w:color w:val="000000"/>
            <w:u w:val="none"/>
          </w:rPr>
          <w:fldChar w:fldCharType="separate"/>
        </w:r>
        <w:r w:rsidR="00AA7E80">
          <w:rPr>
            <w:rStyle w:val="a6"/>
            <w:rFonts w:hint="default"/>
            <w:b/>
            <w:noProof/>
            <w:color w:val="000000"/>
            <w:u w:val="none"/>
          </w:rPr>
          <w:t>4</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3" w:history="1">
        <w:r w:rsidR="00CD2453">
          <w:rPr>
            <w:rStyle w:val="a6"/>
            <w:noProof/>
            <w:color w:val="000000"/>
          </w:rPr>
          <w:t>（一）立项必要性</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_Toc27494593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4</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4" w:history="1">
        <w:r w:rsidR="00CD2453">
          <w:rPr>
            <w:rStyle w:val="a6"/>
            <w:noProof/>
            <w:color w:val="000000"/>
          </w:rPr>
          <w:t>（二）绩效目标合理性</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_Toc27494594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7</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5" w:history="1">
        <w:r w:rsidR="00CD2453">
          <w:rPr>
            <w:rStyle w:val="a6"/>
            <w:noProof/>
            <w:color w:val="000000"/>
          </w:rPr>
          <w:t>（三）投入经济性</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_Toc27494595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7</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6" w:history="1">
        <w:r w:rsidR="00CD2453">
          <w:rPr>
            <w:rStyle w:val="a6"/>
            <w:noProof/>
            <w:color w:val="000000"/>
          </w:rPr>
          <w:t>（四）实施方案可行性</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_Toc27494596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8</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7" w:history="1">
        <w:r w:rsidR="00CD2453">
          <w:rPr>
            <w:rStyle w:val="a6"/>
            <w:noProof/>
            <w:color w:val="000000"/>
          </w:rPr>
          <w:t>（五）筹资合规性</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_Toc27494597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8</w:t>
        </w:r>
        <w:r w:rsidR="00CD2453">
          <w:rPr>
            <w:rStyle w:val="a6"/>
            <w:noProof/>
          </w:rPr>
          <w:fldChar w:fldCharType="end"/>
        </w:r>
      </w:hyperlink>
    </w:p>
    <w:p w:rsidR="004329F2" w:rsidRDefault="00A51892" w:rsidP="00AA7E80">
      <w:pPr>
        <w:pStyle w:val="20"/>
        <w:widowControl/>
        <w:tabs>
          <w:tab w:val="right" w:leader="dot" w:pos="8296"/>
        </w:tabs>
        <w:ind w:firstLineChars="0" w:firstLine="0"/>
        <w:rPr>
          <w:rFonts w:ascii="Calibri" w:hAnsi="Calibri" w:hint="default"/>
          <w:noProof/>
          <w:sz w:val="21"/>
        </w:rPr>
      </w:pPr>
      <w:hyperlink w:anchor="_Toc27494598" w:history="1">
        <w:r w:rsidR="00CD2453">
          <w:rPr>
            <w:rStyle w:val="a6"/>
            <w:noProof/>
            <w:color w:val="000000"/>
          </w:rPr>
          <w:t>（六）总体结论</w:t>
        </w:r>
        <w:r w:rsidR="00CD2453">
          <w:rPr>
            <w:rStyle w:val="a6"/>
            <w:noProof/>
            <w:color w:val="000000"/>
            <w:u w:val="none"/>
          </w:rPr>
          <w:tab/>
        </w:r>
        <w:r w:rsidR="00CD2453">
          <w:rPr>
            <w:rStyle w:val="a6"/>
            <w:noProof/>
          </w:rPr>
          <w:fldChar w:fldCharType="begin"/>
        </w:r>
        <w:r w:rsidR="00CD2453">
          <w:rPr>
            <w:rStyle w:val="a6"/>
            <w:noProof/>
            <w:color w:val="000000"/>
            <w:u w:val="none"/>
          </w:rPr>
          <w:instrText xml:space="preserve"> PAGEREF _Toc27494598 \h </w:instrText>
        </w:r>
        <w:r w:rsidR="00CD2453">
          <w:rPr>
            <w:rStyle w:val="a6"/>
            <w:noProof/>
          </w:rPr>
        </w:r>
        <w:r w:rsidR="00CD2453">
          <w:rPr>
            <w:rStyle w:val="a6"/>
            <w:noProof/>
            <w:color w:val="000000"/>
            <w:u w:val="none"/>
          </w:rPr>
          <w:fldChar w:fldCharType="separate"/>
        </w:r>
        <w:r w:rsidR="00AA7E80">
          <w:rPr>
            <w:rStyle w:val="a6"/>
            <w:rFonts w:hint="default"/>
            <w:noProof/>
            <w:color w:val="000000"/>
            <w:u w:val="none"/>
          </w:rPr>
          <w:t>8</w:t>
        </w:r>
        <w:r w:rsidR="00CD2453">
          <w:rPr>
            <w:rStyle w:val="a6"/>
            <w:noProof/>
          </w:rPr>
          <w:fldChar w:fldCharType="end"/>
        </w:r>
      </w:hyperlink>
    </w:p>
    <w:p w:rsidR="004329F2" w:rsidRDefault="00A51892" w:rsidP="00AA7E80">
      <w:pPr>
        <w:pStyle w:val="10"/>
        <w:widowControl/>
        <w:tabs>
          <w:tab w:val="right" w:leader="dot" w:pos="8296"/>
        </w:tabs>
        <w:ind w:firstLineChars="0" w:firstLine="0"/>
        <w:rPr>
          <w:rFonts w:ascii="Calibri" w:hAnsi="Calibri" w:hint="default"/>
          <w:b/>
          <w:noProof/>
          <w:sz w:val="21"/>
        </w:rPr>
      </w:pPr>
      <w:hyperlink w:anchor="_Toc27494599" w:history="1">
        <w:r w:rsidR="00CD2453">
          <w:rPr>
            <w:rStyle w:val="a6"/>
            <w:b/>
            <w:noProof/>
            <w:color w:val="000000"/>
          </w:rPr>
          <w:t>四、评估的相关建议</w:t>
        </w:r>
        <w:r w:rsidR="00CD2453">
          <w:rPr>
            <w:rStyle w:val="a6"/>
            <w:b/>
            <w:noProof/>
            <w:color w:val="000000"/>
            <w:u w:val="none"/>
          </w:rPr>
          <w:tab/>
        </w:r>
        <w:r w:rsidR="00CD2453">
          <w:rPr>
            <w:rStyle w:val="a6"/>
            <w:noProof/>
          </w:rPr>
          <w:fldChar w:fldCharType="begin"/>
        </w:r>
        <w:r w:rsidR="00CD2453">
          <w:rPr>
            <w:rStyle w:val="a6"/>
            <w:b/>
            <w:noProof/>
            <w:color w:val="000000"/>
            <w:u w:val="none"/>
          </w:rPr>
          <w:instrText xml:space="preserve"> PAGEREF _Toc27494599 \h </w:instrText>
        </w:r>
        <w:r w:rsidR="00CD2453">
          <w:rPr>
            <w:rStyle w:val="a6"/>
            <w:noProof/>
          </w:rPr>
        </w:r>
        <w:r w:rsidR="00CD2453">
          <w:rPr>
            <w:rStyle w:val="a6"/>
            <w:b/>
            <w:noProof/>
            <w:color w:val="000000"/>
            <w:u w:val="none"/>
          </w:rPr>
          <w:fldChar w:fldCharType="separate"/>
        </w:r>
        <w:r w:rsidR="00AA7E80">
          <w:rPr>
            <w:rStyle w:val="a6"/>
            <w:rFonts w:hint="default"/>
            <w:b/>
            <w:noProof/>
            <w:color w:val="000000"/>
            <w:u w:val="none"/>
          </w:rPr>
          <w:t>9</w:t>
        </w:r>
        <w:r w:rsidR="00CD2453">
          <w:rPr>
            <w:rStyle w:val="a6"/>
            <w:noProof/>
          </w:rPr>
          <w:fldChar w:fldCharType="end"/>
        </w:r>
      </w:hyperlink>
    </w:p>
    <w:p w:rsidR="004329F2" w:rsidRDefault="00A51892" w:rsidP="00AA7E80">
      <w:pPr>
        <w:pStyle w:val="10"/>
        <w:widowControl/>
        <w:tabs>
          <w:tab w:val="right" w:leader="dot" w:pos="8296"/>
        </w:tabs>
        <w:ind w:firstLineChars="0" w:firstLine="0"/>
        <w:rPr>
          <w:rFonts w:ascii="Calibri" w:hAnsi="Calibri" w:hint="default"/>
          <w:b/>
          <w:noProof/>
          <w:sz w:val="21"/>
        </w:rPr>
      </w:pPr>
      <w:hyperlink w:anchor="_Toc27494600" w:history="1">
        <w:r w:rsidR="00CD2453">
          <w:rPr>
            <w:rStyle w:val="a6"/>
            <w:b/>
            <w:noProof/>
            <w:color w:val="000000"/>
          </w:rPr>
          <w:t>五、其他需要说明的问题</w:t>
        </w:r>
        <w:r w:rsidR="00CD2453">
          <w:rPr>
            <w:rStyle w:val="a6"/>
            <w:b/>
            <w:noProof/>
            <w:color w:val="000000"/>
            <w:u w:val="none"/>
          </w:rPr>
          <w:tab/>
        </w:r>
        <w:r w:rsidR="00CD2453">
          <w:rPr>
            <w:rStyle w:val="a6"/>
            <w:noProof/>
          </w:rPr>
          <w:fldChar w:fldCharType="begin"/>
        </w:r>
        <w:r w:rsidR="00CD2453">
          <w:rPr>
            <w:rStyle w:val="a6"/>
            <w:b/>
            <w:noProof/>
            <w:color w:val="000000"/>
            <w:u w:val="none"/>
          </w:rPr>
          <w:instrText xml:space="preserve"> PAGEREF _Toc27494600 \h </w:instrText>
        </w:r>
        <w:r w:rsidR="00CD2453">
          <w:rPr>
            <w:rStyle w:val="a6"/>
            <w:noProof/>
          </w:rPr>
        </w:r>
        <w:r w:rsidR="00CD2453">
          <w:rPr>
            <w:rStyle w:val="a6"/>
            <w:b/>
            <w:noProof/>
            <w:color w:val="000000"/>
            <w:u w:val="none"/>
          </w:rPr>
          <w:fldChar w:fldCharType="separate"/>
        </w:r>
        <w:r w:rsidR="00AA7E80">
          <w:rPr>
            <w:rStyle w:val="a6"/>
            <w:rFonts w:hint="default"/>
            <w:b/>
            <w:noProof/>
            <w:color w:val="000000"/>
            <w:u w:val="none"/>
          </w:rPr>
          <w:t>9</w:t>
        </w:r>
        <w:r w:rsidR="00CD2453">
          <w:rPr>
            <w:rStyle w:val="a6"/>
            <w:noProof/>
          </w:rPr>
          <w:fldChar w:fldCharType="end"/>
        </w:r>
      </w:hyperlink>
    </w:p>
    <w:p w:rsidR="004329F2" w:rsidRDefault="00A51892" w:rsidP="00AA7E80">
      <w:pPr>
        <w:pStyle w:val="10"/>
        <w:widowControl/>
        <w:tabs>
          <w:tab w:val="right" w:leader="dot" w:pos="8296"/>
        </w:tabs>
        <w:ind w:firstLineChars="0" w:firstLine="0"/>
        <w:rPr>
          <w:rFonts w:ascii="Calibri" w:hAnsi="Calibri" w:hint="default"/>
          <w:b/>
          <w:noProof/>
          <w:sz w:val="21"/>
        </w:rPr>
      </w:pPr>
      <w:hyperlink w:anchor="_Toc27494601" w:history="1">
        <w:r w:rsidR="00CD2453">
          <w:rPr>
            <w:rStyle w:val="a6"/>
            <w:b/>
            <w:noProof/>
            <w:color w:val="000000"/>
          </w:rPr>
          <w:t>六、附件</w:t>
        </w:r>
        <w:r w:rsidR="00CD2453">
          <w:rPr>
            <w:rStyle w:val="a6"/>
            <w:b/>
            <w:noProof/>
            <w:color w:val="000000"/>
            <w:u w:val="none"/>
          </w:rPr>
          <w:tab/>
        </w:r>
        <w:r w:rsidR="00CD2453">
          <w:rPr>
            <w:rStyle w:val="a6"/>
            <w:noProof/>
          </w:rPr>
          <w:fldChar w:fldCharType="begin"/>
        </w:r>
        <w:r w:rsidR="00CD2453">
          <w:rPr>
            <w:rStyle w:val="a6"/>
            <w:b/>
            <w:noProof/>
            <w:color w:val="000000"/>
            <w:u w:val="none"/>
          </w:rPr>
          <w:instrText xml:space="preserve"> PAGEREF _Toc27494601 \h </w:instrText>
        </w:r>
        <w:r w:rsidR="00CD2453">
          <w:rPr>
            <w:rStyle w:val="a6"/>
            <w:noProof/>
          </w:rPr>
        </w:r>
        <w:r w:rsidR="00CD2453">
          <w:rPr>
            <w:rStyle w:val="a6"/>
            <w:b/>
            <w:noProof/>
            <w:color w:val="000000"/>
            <w:u w:val="none"/>
          </w:rPr>
          <w:fldChar w:fldCharType="separate"/>
        </w:r>
        <w:r w:rsidR="00AA7E80">
          <w:rPr>
            <w:rStyle w:val="a6"/>
            <w:rFonts w:hint="default"/>
            <w:b/>
            <w:noProof/>
            <w:color w:val="000000"/>
            <w:u w:val="none"/>
          </w:rPr>
          <w:t>9</w:t>
        </w:r>
        <w:r w:rsidR="00CD2453">
          <w:rPr>
            <w:rStyle w:val="a6"/>
            <w:noProof/>
          </w:rPr>
          <w:fldChar w:fldCharType="end"/>
        </w:r>
      </w:hyperlink>
    </w:p>
    <w:p w:rsidR="004329F2" w:rsidRDefault="00CD2453" w:rsidP="00AA7E80">
      <w:pPr>
        <w:adjustRightInd w:val="0"/>
        <w:snapToGrid w:val="0"/>
        <w:spacing w:line="360" w:lineRule="auto"/>
      </w:pPr>
      <w:r>
        <w:rPr>
          <w:rFonts w:ascii="宋体" w:eastAsia="宋体" w:hAnsi="宋体" w:cs="宋体" w:hint="eastAsia"/>
          <w:sz w:val="27"/>
          <w:szCs w:val="22"/>
          <w:lang w:bidi="ar"/>
        </w:rPr>
        <w:fldChar w:fldCharType="end"/>
      </w:r>
    </w:p>
    <w:p w:rsidR="004329F2" w:rsidRDefault="004329F2">
      <w:pPr>
        <w:spacing w:line="360" w:lineRule="auto"/>
        <w:rPr>
          <w:rFonts w:ascii="宋体" w:eastAsia="宋体" w:hAnsi="宋体" w:cs="宋体"/>
          <w:sz w:val="27"/>
          <w:szCs w:val="22"/>
          <w:lang w:bidi="ar"/>
        </w:rPr>
        <w:sectPr w:rsidR="004329F2">
          <w:pgSz w:w="11906" w:h="16838"/>
          <w:pgMar w:top="1440" w:right="1800" w:bottom="1440" w:left="1800" w:header="851" w:footer="992" w:gutter="0"/>
          <w:pgNumType w:start="1"/>
          <w:cols w:space="425"/>
          <w:docGrid w:type="lines" w:linePitch="312"/>
        </w:sectPr>
      </w:pPr>
    </w:p>
    <w:p w:rsidR="004329F2" w:rsidRDefault="00CD2453">
      <w:pPr>
        <w:pStyle w:val="1"/>
        <w:widowControl/>
        <w:ind w:firstLine="600"/>
        <w:rPr>
          <w:rFonts w:hint="default"/>
        </w:rPr>
      </w:pPr>
      <w:bookmarkStart w:id="2" w:name="_Toc27494583"/>
      <w:r>
        <w:lastRenderedPageBreak/>
        <w:t>一、评估对象</w:t>
      </w:r>
      <w:bookmarkEnd w:id="1"/>
      <w:bookmarkEnd w:id="2"/>
    </w:p>
    <w:p w:rsidR="004329F2" w:rsidRDefault="00CD2453">
      <w:pPr>
        <w:pStyle w:val="2"/>
        <w:widowControl/>
        <w:ind w:firstLine="562"/>
        <w:rPr>
          <w:rFonts w:hint="default"/>
        </w:rPr>
      </w:pPr>
      <w:bookmarkStart w:id="3" w:name="_Toc27494584"/>
      <w:bookmarkStart w:id="4" w:name="_Toc25324"/>
      <w:r>
        <w:t>（一）项目名称</w:t>
      </w:r>
      <w:bookmarkEnd w:id="3"/>
      <w:bookmarkEnd w:id="4"/>
    </w:p>
    <w:p w:rsidR="004329F2" w:rsidRDefault="00CD2453">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淄博市人力资源和社会保障局退休证等大宗印刷费项目。</w:t>
      </w:r>
    </w:p>
    <w:p w:rsidR="004329F2" w:rsidRDefault="00CD2453">
      <w:pPr>
        <w:pStyle w:val="2"/>
        <w:widowControl/>
        <w:ind w:firstLine="562"/>
        <w:rPr>
          <w:rFonts w:hint="default"/>
        </w:rPr>
      </w:pPr>
      <w:bookmarkStart w:id="5" w:name="_Toc27494585"/>
      <w:bookmarkStart w:id="6" w:name="_Toc16828"/>
      <w:r>
        <w:t>（二）项目绩效目标</w:t>
      </w:r>
      <w:bookmarkEnd w:id="5"/>
      <w:bookmarkEnd w:id="6"/>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1.项目长期绩效目标：规范工作程序，提供工作开展所需印刷品。</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2.项目年度绩效目标：完成年度退休证、基层手册等印刷品的印刷工作。</w:t>
      </w:r>
    </w:p>
    <w:p w:rsidR="004329F2" w:rsidRDefault="00CD2453">
      <w:pPr>
        <w:pStyle w:val="2"/>
        <w:widowControl/>
        <w:ind w:firstLine="562"/>
        <w:rPr>
          <w:rFonts w:hint="default"/>
        </w:rPr>
      </w:pPr>
      <w:bookmarkStart w:id="7" w:name="_Toc27494586"/>
      <w:bookmarkStart w:id="8" w:name="_Toc15347"/>
      <w:r>
        <w:t>（三）项目资金构成</w:t>
      </w:r>
      <w:bookmarkEnd w:id="7"/>
      <w:bookmarkEnd w:id="8"/>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项目申请预算资金总额</w:t>
      </w:r>
      <w:r w:rsidR="00944F54">
        <w:rPr>
          <w:rFonts w:ascii="宋体" w:eastAsia="宋体" w:hAnsi="宋体" w:cs="宋体" w:hint="eastAsia"/>
          <w:sz w:val="27"/>
          <w:szCs w:val="22"/>
          <w:lang w:bidi="ar"/>
        </w:rPr>
        <w:t>16.4</w:t>
      </w:r>
      <w:r>
        <w:rPr>
          <w:rFonts w:ascii="宋体" w:eastAsia="宋体" w:hAnsi="宋体" w:cs="宋体" w:hint="eastAsia"/>
          <w:sz w:val="27"/>
          <w:szCs w:val="22"/>
          <w:lang w:bidi="ar"/>
        </w:rPr>
        <w:t>万元，由市级财政资金构成。</w:t>
      </w:r>
    </w:p>
    <w:p w:rsidR="004329F2" w:rsidRDefault="00CD2453">
      <w:pPr>
        <w:pStyle w:val="2"/>
        <w:widowControl/>
        <w:ind w:firstLine="562"/>
        <w:rPr>
          <w:rFonts w:hint="default"/>
        </w:rPr>
      </w:pPr>
      <w:bookmarkStart w:id="9" w:name="_Toc27494587"/>
      <w:bookmarkStart w:id="10" w:name="_Toc27917"/>
      <w:r>
        <w:t>（四）项目概况</w:t>
      </w:r>
      <w:bookmarkEnd w:id="9"/>
      <w:bookmarkEnd w:id="10"/>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淄博市人力资源和社会保障局按照山东省厅《关于加快推进人力资源和社会保障服务向基层下沉实施方案》、淄博市物价局《关于公布废止部分收费文件的通知》（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价字〔2006〕214 号）要求</w:t>
      </w:r>
      <w:r w:rsidR="00BC74DD">
        <w:rPr>
          <w:rFonts w:ascii="宋体" w:eastAsia="宋体" w:hAnsi="宋体" w:cs="宋体" w:hint="eastAsia"/>
          <w:sz w:val="27"/>
          <w:szCs w:val="22"/>
          <w:lang w:bidi="ar"/>
        </w:rPr>
        <w:t>，</w:t>
      </w:r>
      <w:r>
        <w:rPr>
          <w:rFonts w:ascii="宋体" w:eastAsia="宋体" w:hAnsi="宋体" w:cs="宋体" w:hint="eastAsia"/>
          <w:sz w:val="27"/>
          <w:szCs w:val="22"/>
          <w:lang w:bidi="ar"/>
        </w:rPr>
        <w:t>以及业务工作需要，完成年度退休证、基层手册等印刷品的印刷工作。</w:t>
      </w:r>
    </w:p>
    <w:p w:rsidR="004329F2" w:rsidRDefault="00CD2453">
      <w:pPr>
        <w:pStyle w:val="1"/>
        <w:widowControl/>
        <w:ind w:firstLine="600"/>
        <w:rPr>
          <w:rFonts w:hint="default"/>
        </w:rPr>
      </w:pPr>
      <w:bookmarkStart w:id="11" w:name="_Toc3950"/>
      <w:bookmarkStart w:id="12" w:name="_Toc27494588"/>
      <w:r>
        <w:t>二、事前绩效评估的基本情况</w:t>
      </w:r>
      <w:bookmarkEnd w:id="11"/>
      <w:bookmarkEnd w:id="12"/>
    </w:p>
    <w:p w:rsidR="004329F2" w:rsidRDefault="00CD2453">
      <w:pPr>
        <w:pStyle w:val="2"/>
        <w:widowControl/>
        <w:ind w:firstLine="562"/>
        <w:rPr>
          <w:rFonts w:hint="default"/>
        </w:rPr>
      </w:pPr>
      <w:bookmarkStart w:id="13" w:name="_Toc27494589"/>
      <w:bookmarkStart w:id="14" w:name="_Toc2158"/>
      <w:r>
        <w:t>（一）评估程序</w:t>
      </w:r>
      <w:bookmarkEnd w:id="13"/>
      <w:bookmarkEnd w:id="14"/>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1.确定评估对象。明确事前评估项目的依据、内容、目的、时间、要求等事项。</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2.拟定工作方案。评估工作组结合事前绩效评估工作要求，拟定《事前绩效评估工作方案》,包括评估对象、内容、方法、专家、时间安排等。</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3.组成评估专家组。评估工作组遴选绩效管理专家、财政财务专家和业务专家，组成评估专家组，并适时开展业务培训。</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4.进点调研。评估工作组进点与被评估单位沟通，进一步熟悉项目内容，向项目单位出示《淄博市市级项目支出事前绩效评估资料准备清单》，指导项目单位填报《事前绩效评估评分指标体系》《项目支出绩效</w:t>
      </w:r>
      <w:r>
        <w:rPr>
          <w:rFonts w:ascii="宋体" w:eastAsia="宋体" w:hAnsi="宋体" w:cs="宋体" w:hint="eastAsia"/>
          <w:sz w:val="27"/>
          <w:szCs w:val="22"/>
          <w:lang w:bidi="ar"/>
        </w:rPr>
        <w:lastRenderedPageBreak/>
        <w:t>目标申报表》。</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6.组织实施评估。绩效考评组会同专家组共同召开评估会议，了解项目基本情况，听取项目单位情况介绍，进行现场评议。</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（1）采取多种方式，多方获取信息。通过咨询专家、查阅资料、问卷调查、电话采访、集中座谈等方式，全面了解并收集项目信息。</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（3）确认专家组意见，得出评估结论。评估工作组将专家组初步意见分别报送每一位专家征求意见，评估工作组综合专家意见，修改完善专家组意见，得出最终评估结论。</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7.汇报绩效评估结论。完成最终评估报告，提出评估结论意见。</w:t>
      </w:r>
    </w:p>
    <w:p w:rsidR="004329F2" w:rsidRDefault="00CD2453">
      <w:pPr>
        <w:pStyle w:val="2"/>
        <w:widowControl/>
        <w:ind w:firstLine="562"/>
        <w:rPr>
          <w:rFonts w:hint="default"/>
        </w:rPr>
      </w:pPr>
      <w:bookmarkStart w:id="15" w:name="_Toc14706"/>
      <w:bookmarkStart w:id="16" w:name="_Toc27494590"/>
      <w:r>
        <w:t>（二）评估思路</w:t>
      </w:r>
      <w:bookmarkEnd w:id="15"/>
      <w:bookmarkEnd w:id="16"/>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本次事前绩效评估主要针对项目立项必要性、投入经济性、绩效目标合理性、实施方案的可行性、筹资合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4329F2" w:rsidRDefault="00CD2453">
      <w:pPr>
        <w:pStyle w:val="2"/>
        <w:widowControl/>
        <w:ind w:firstLine="562"/>
        <w:rPr>
          <w:rFonts w:hint="default"/>
        </w:rPr>
      </w:pPr>
      <w:bookmarkStart w:id="17" w:name="_Toc27494591"/>
      <w:bookmarkStart w:id="18" w:name="_Toc23820"/>
      <w:r>
        <w:t>（三）评估方式、方法</w:t>
      </w:r>
      <w:bookmarkEnd w:id="17"/>
      <w:bookmarkEnd w:id="18"/>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本次事前绩效评估遵循客观公正、科学规范、依据充分、成本效益的原则，主要采用专家咨询、资料分析的方式，同时辅之以集中座谈、网络查询、电话采访、抽样调查等评估方式或手段，对项目的相关性、</w:t>
      </w:r>
      <w:r>
        <w:rPr>
          <w:rFonts w:ascii="宋体" w:eastAsia="宋体" w:hAnsi="宋体" w:cs="宋体" w:hint="eastAsia"/>
          <w:sz w:val="27"/>
          <w:szCs w:val="22"/>
          <w:lang w:bidi="ar"/>
        </w:rPr>
        <w:lastRenderedPageBreak/>
        <w:t>合理性、可行性、持续性等方面进行全面评估。</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4329F2" w:rsidRDefault="00CD2453">
      <w:pPr>
        <w:pStyle w:val="1"/>
        <w:widowControl/>
        <w:ind w:firstLine="600"/>
        <w:rPr>
          <w:rFonts w:hint="default"/>
        </w:rPr>
      </w:pPr>
      <w:bookmarkStart w:id="19" w:name="_Toc28218"/>
      <w:bookmarkStart w:id="20" w:name="_Toc27494592"/>
      <w:r>
        <w:t>三、评估内容和结论</w:t>
      </w:r>
      <w:bookmarkEnd w:id="19"/>
      <w:bookmarkEnd w:id="20"/>
    </w:p>
    <w:p w:rsidR="004329F2" w:rsidRDefault="00CD2453">
      <w:pPr>
        <w:pStyle w:val="2"/>
        <w:widowControl/>
        <w:ind w:firstLine="562"/>
        <w:rPr>
          <w:rFonts w:hint="default"/>
        </w:rPr>
      </w:pPr>
      <w:bookmarkStart w:id="21" w:name="_Toc9968"/>
      <w:bookmarkStart w:id="22" w:name="_Toc27494593"/>
      <w:r>
        <w:t>（一）立项必要性</w:t>
      </w:r>
      <w:bookmarkEnd w:id="21"/>
      <w:bookmarkEnd w:id="22"/>
    </w:p>
    <w:p w:rsidR="00957CB3" w:rsidRDefault="00CD2453" w:rsidP="00957CB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淄博市人力资源和社会保障局是综合管理全市人事劳动和社会保障工作的政府工作部门，</w:t>
      </w:r>
      <w:r w:rsidR="00957CB3">
        <w:rPr>
          <w:rFonts w:ascii="宋体" w:eastAsia="宋体" w:hAnsi="宋体" w:cs="宋体" w:hint="eastAsia"/>
          <w:sz w:val="27"/>
          <w:szCs w:val="22"/>
          <w:lang w:bidi="ar"/>
        </w:rPr>
        <w:t>主要</w:t>
      </w:r>
      <w:r w:rsidR="00957CB3" w:rsidRPr="00957CB3">
        <w:rPr>
          <w:rFonts w:ascii="宋体" w:eastAsia="宋体" w:hAnsi="宋体" w:cs="宋体" w:hint="eastAsia"/>
          <w:sz w:val="27"/>
          <w:szCs w:val="22"/>
          <w:lang w:bidi="ar"/>
        </w:rPr>
        <w:t>负责全市就业、社会保险、人事人才、劳动人事关系协调等工作</w:t>
      </w:r>
      <w:r w:rsidR="00977C87">
        <w:rPr>
          <w:rFonts w:ascii="宋体" w:eastAsia="宋体" w:hAnsi="宋体" w:cs="宋体" w:hint="eastAsia"/>
          <w:sz w:val="27"/>
          <w:szCs w:val="22"/>
          <w:lang w:bidi="ar"/>
        </w:rPr>
        <w:t>，包括：</w:t>
      </w:r>
      <w:r w:rsidR="00957CB3" w:rsidRPr="00957CB3">
        <w:rPr>
          <w:rFonts w:ascii="宋体" w:eastAsia="宋体" w:hAnsi="宋体" w:cs="宋体" w:hint="eastAsia"/>
          <w:sz w:val="27"/>
          <w:szCs w:val="22"/>
          <w:lang w:bidi="ar"/>
        </w:rPr>
        <w:t>一是就业工作。主要负责拟订统筹城乡就业、人力资源市场发展规划和政策，牵头拟订高校毕业生就业政策，开展公共就业服务、就业援助、城乡劳动者就业培训等工作。二是养老、失业、工伤等社会保险工作。主要负责拟订城乡社会保险及其补充保险政策和标准并组织实施，负责相关社会保险费发放、社保基金监管、社保经办等工作。三是政府人才工作。主要负责专业技术人才、高技能人才的队伍建设，协调推进人才服务体系建设，牵头深化职称制度改革，推进职业资格证书制度改革等。四是人事管理工作。按照职责权限，主要负责事业单位人员招聘和事业单位人员考核、工资分配工作，相关表彰奖励事项办理和有关人事任免工作，以及企业工资宏观管理工作。五是劳动人事关系调整工作。主要负责劳动合同管理、开展执法监察、劳动人事争议处理等工作。</w:t>
      </w:r>
    </w:p>
    <w:p w:rsidR="00977C87" w:rsidRDefault="00977C87" w:rsidP="00977C87">
      <w:pPr>
        <w:adjustRightInd w:val="0"/>
        <w:snapToGrid w:val="0"/>
        <w:spacing w:line="360" w:lineRule="auto"/>
        <w:ind w:firstLineChars="200" w:firstLine="540"/>
        <w:rPr>
          <w:rFonts w:ascii="宋体" w:eastAsia="宋体" w:hAnsi="宋体" w:cs="宋体"/>
          <w:sz w:val="27"/>
          <w:szCs w:val="22"/>
          <w:lang w:bidi="ar"/>
        </w:rPr>
      </w:pPr>
      <w:proofErr w:type="gramStart"/>
      <w:r>
        <w:rPr>
          <w:rFonts w:ascii="宋体" w:eastAsia="宋体" w:hAnsi="宋体" w:cs="宋体" w:hint="eastAsia"/>
          <w:sz w:val="27"/>
          <w:szCs w:val="22"/>
          <w:lang w:bidi="ar"/>
        </w:rPr>
        <w:t>人社局内</w:t>
      </w:r>
      <w:proofErr w:type="gramEnd"/>
      <w:r>
        <w:rPr>
          <w:rFonts w:ascii="宋体" w:eastAsia="宋体" w:hAnsi="宋体" w:cs="宋体" w:hint="eastAsia"/>
          <w:sz w:val="27"/>
          <w:szCs w:val="22"/>
          <w:lang w:bidi="ar"/>
        </w:rPr>
        <w:t>设养老保险科，科室职责为</w:t>
      </w:r>
      <w:r w:rsidRPr="00977C87">
        <w:rPr>
          <w:rFonts w:ascii="宋体" w:eastAsia="宋体" w:hAnsi="宋体" w:cs="宋体" w:hint="eastAsia"/>
          <w:sz w:val="27"/>
          <w:szCs w:val="22"/>
          <w:lang w:bidi="ar"/>
        </w:rPr>
        <w:t>拟订全市机关企事业单位离退休政策、基本养老保险、企业（职业）年金、个人储蓄性养老保险政策。拟订全市居民基本养老保险规划、政策、标准并组织实施。拟订职工基本养老保险费率和费基等养老保险费政策。拟订职工基本养老金领取条件、基本养老保险待遇项目和给付标准。拟订职工基本养老保险费用社会统筹、个人账户管理政策。拟订职工养老保险基金预测预警制度。负责市本级养老保险参保人员退休核准工作。拟订被征地农民社会保障政</w:t>
      </w:r>
      <w:r w:rsidRPr="00977C87">
        <w:rPr>
          <w:rFonts w:ascii="宋体" w:eastAsia="宋体" w:hAnsi="宋体" w:cs="宋体" w:hint="eastAsia"/>
          <w:sz w:val="27"/>
          <w:szCs w:val="22"/>
          <w:lang w:bidi="ar"/>
        </w:rPr>
        <w:lastRenderedPageBreak/>
        <w:t>策并组织实施。指导协调养老保险社会化服务工作。指导监督养老保险经办机构业务工作。</w:t>
      </w:r>
    </w:p>
    <w:p w:rsidR="00977C87" w:rsidRDefault="00543F15" w:rsidP="00977C8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下设</w:t>
      </w:r>
      <w:r w:rsidRPr="00543F15">
        <w:rPr>
          <w:rFonts w:ascii="宋体" w:eastAsia="宋体" w:hAnsi="宋体" w:cs="宋体" w:hint="eastAsia"/>
          <w:sz w:val="27"/>
          <w:szCs w:val="22"/>
          <w:lang w:bidi="ar"/>
        </w:rPr>
        <w:t>淄博市社会保险事业中心</w:t>
      </w:r>
      <w:r>
        <w:rPr>
          <w:rFonts w:ascii="宋体" w:eastAsia="宋体" w:hAnsi="宋体" w:cs="宋体" w:hint="eastAsia"/>
          <w:sz w:val="27"/>
          <w:szCs w:val="22"/>
          <w:lang w:bidi="ar"/>
        </w:rPr>
        <w:t>，中心职责为</w:t>
      </w:r>
      <w:r w:rsidR="00977C87" w:rsidRPr="00977C87">
        <w:rPr>
          <w:rFonts w:ascii="宋体" w:eastAsia="宋体" w:hAnsi="宋体" w:cs="宋体" w:hint="eastAsia"/>
          <w:sz w:val="27"/>
          <w:szCs w:val="22"/>
          <w:lang w:bidi="ar"/>
        </w:rPr>
        <w:t>负责市直基本养老保险、工伤保险、失业保险、职业年金（以下简称相关社会保险）经办工作。一是负责办理相关社会保险参保登记，负责企业相关社会保险费核定和征缴，负责办理相关社会保险关系转移接续，负责记录参保人</w:t>
      </w:r>
      <w:proofErr w:type="gramStart"/>
      <w:r w:rsidR="00977C87" w:rsidRPr="00977C87">
        <w:rPr>
          <w:rFonts w:ascii="宋体" w:eastAsia="宋体" w:hAnsi="宋体" w:cs="宋体" w:hint="eastAsia"/>
          <w:sz w:val="27"/>
          <w:szCs w:val="22"/>
          <w:lang w:bidi="ar"/>
        </w:rPr>
        <w:t>员相关</w:t>
      </w:r>
      <w:proofErr w:type="gramEnd"/>
      <w:r w:rsidR="00977C87" w:rsidRPr="00977C87">
        <w:rPr>
          <w:rFonts w:ascii="宋体" w:eastAsia="宋体" w:hAnsi="宋体" w:cs="宋体" w:hint="eastAsia"/>
          <w:sz w:val="27"/>
          <w:szCs w:val="22"/>
          <w:lang w:bidi="ar"/>
        </w:rPr>
        <w:t>社会保险个人权益信息，负责相关社会保险待遇审核、支付和正常调整。二是负责企业退休人员社会化管理服务。三是负责机关事业单位职业年金工作。四是负责全市工伤预防政策的组织实施。五是协调、指导全市城乡居民养老保险业务经办工作，参与实施全民参保计划。六是负责稽核用人单位缴纳相关社会保险费情况和</w:t>
      </w:r>
      <w:proofErr w:type="gramStart"/>
      <w:r w:rsidR="00977C87" w:rsidRPr="00977C87">
        <w:rPr>
          <w:rFonts w:ascii="宋体" w:eastAsia="宋体" w:hAnsi="宋体" w:cs="宋体" w:hint="eastAsia"/>
          <w:sz w:val="27"/>
          <w:szCs w:val="22"/>
          <w:lang w:bidi="ar"/>
        </w:rPr>
        <w:t>参保人</w:t>
      </w:r>
      <w:proofErr w:type="gramEnd"/>
      <w:r w:rsidR="00977C87" w:rsidRPr="00977C87">
        <w:rPr>
          <w:rFonts w:ascii="宋体" w:eastAsia="宋体" w:hAnsi="宋体" w:cs="宋体" w:hint="eastAsia"/>
          <w:sz w:val="27"/>
          <w:szCs w:val="22"/>
          <w:lang w:bidi="ar"/>
        </w:rPr>
        <w:t>员领取相关社会保险待遇情况。</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淄博市人力资源和社会保障局</w:t>
      </w:r>
      <w:r w:rsidR="00543F15">
        <w:rPr>
          <w:rFonts w:ascii="宋体" w:eastAsia="宋体" w:hAnsi="宋体" w:cs="宋体" w:hint="eastAsia"/>
          <w:sz w:val="27"/>
          <w:szCs w:val="22"/>
          <w:lang w:bidi="ar"/>
        </w:rPr>
        <w:t>作为退休人员核准、管理的行政部门，</w:t>
      </w:r>
      <w:r>
        <w:rPr>
          <w:rFonts w:ascii="宋体" w:eastAsia="宋体" w:hAnsi="宋体" w:cs="宋体" w:hint="eastAsia"/>
          <w:sz w:val="27"/>
          <w:szCs w:val="22"/>
          <w:lang w:bidi="ar"/>
        </w:rPr>
        <w:t>根据市物价局《关于公布废止部分收费文件的通知》（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价字〔2006〕214 号）以及省厅《关于加快推进人力资源和社会保障服务向基层下沉实施方案》的要求，通过开展退休证等大宗印刷费项目，提供工作开展所需印刷品，完成年度退休证、基层手册等印刷品的印刷工作，满足业务需要，规范工作程序，提升服务水平。综上所述，本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4329F2" w:rsidRDefault="00CD2453">
      <w:pPr>
        <w:pStyle w:val="2"/>
        <w:widowControl/>
        <w:ind w:firstLine="562"/>
        <w:rPr>
          <w:rFonts w:hint="default"/>
        </w:rPr>
      </w:pPr>
      <w:bookmarkStart w:id="23" w:name="_Toc22396"/>
      <w:bookmarkStart w:id="24" w:name="_Toc27494594"/>
      <w:r>
        <w:t>（二）绩效目标合理性</w:t>
      </w:r>
      <w:bookmarkEnd w:id="23"/>
      <w:bookmarkEnd w:id="24"/>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退休证数量、信封数量、红头文件、便签头数量、人力资源社会保障信息文件数量、基层平台建设印刷资料数量设置数量指标，围绕印刷完成时效设置时效指标，围绕印刷质量合格率设置质量指标，其中，数量、质量指标的设置均量化、可衡量。项目效益方面，社会效益</w:t>
      </w:r>
      <w:r>
        <w:rPr>
          <w:rFonts w:ascii="宋体" w:eastAsia="宋体" w:hAnsi="宋体" w:cs="宋体" w:hint="eastAsia"/>
          <w:sz w:val="27"/>
          <w:szCs w:val="22"/>
          <w:lang w:bidi="ar"/>
        </w:rPr>
        <w:lastRenderedPageBreak/>
        <w:t>指标的设置主要围绕两个方面，一是是否能规范工作程序，二是是否能满足业务需要；可持续影响指标的设置，围绕是否能提升服务水平；满意度方面，围绕受益对象是否满意设置。</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4329F2" w:rsidRDefault="00CD2453">
      <w:pPr>
        <w:pStyle w:val="2"/>
        <w:widowControl/>
        <w:ind w:firstLine="562"/>
        <w:rPr>
          <w:rFonts w:hint="default"/>
        </w:rPr>
      </w:pPr>
      <w:bookmarkStart w:id="25" w:name="_Toc27494595"/>
      <w:bookmarkStart w:id="26" w:name="_Toc6018"/>
      <w:r>
        <w:t>（三）投入经济性</w:t>
      </w:r>
      <w:bookmarkEnd w:id="25"/>
      <w:bookmarkEnd w:id="26"/>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本项目预计投入资金</w:t>
      </w:r>
      <w:r w:rsidR="00944F54">
        <w:rPr>
          <w:rFonts w:ascii="宋体" w:eastAsia="宋体" w:hAnsi="宋体" w:cs="宋体" w:hint="eastAsia"/>
          <w:sz w:val="27"/>
          <w:szCs w:val="22"/>
          <w:lang w:bidi="ar"/>
        </w:rPr>
        <w:t>16.4</w:t>
      </w:r>
      <w:r>
        <w:rPr>
          <w:rFonts w:ascii="宋体" w:eastAsia="宋体" w:hAnsi="宋体" w:cs="宋体" w:hint="eastAsia"/>
          <w:sz w:val="27"/>
          <w:szCs w:val="22"/>
          <w:lang w:bidi="ar"/>
        </w:rPr>
        <w:t>万元，分别用于以下内容：</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1.退休证：2万本，单价1元，合计2万元</w:t>
      </w:r>
      <w:r w:rsidR="00944F54">
        <w:rPr>
          <w:rFonts w:ascii="宋体" w:eastAsia="宋体" w:hAnsi="宋体" w:cs="宋体" w:hint="eastAsia"/>
          <w:sz w:val="27"/>
          <w:szCs w:val="22"/>
          <w:lang w:bidi="ar"/>
        </w:rPr>
        <w:t>；</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2.大中小信封 ：约5万个，大0.55元/</w:t>
      </w:r>
      <w:proofErr w:type="gramStart"/>
      <w:r>
        <w:rPr>
          <w:rFonts w:ascii="宋体" w:eastAsia="宋体" w:hAnsi="宋体" w:cs="宋体" w:hint="eastAsia"/>
          <w:sz w:val="27"/>
          <w:szCs w:val="22"/>
          <w:lang w:bidi="ar"/>
        </w:rPr>
        <w:t>个</w:t>
      </w:r>
      <w:proofErr w:type="gramEnd"/>
      <w:r>
        <w:rPr>
          <w:rFonts w:ascii="宋体" w:eastAsia="宋体" w:hAnsi="宋体" w:cs="宋体" w:hint="eastAsia"/>
          <w:sz w:val="27"/>
          <w:szCs w:val="22"/>
          <w:lang w:bidi="ar"/>
        </w:rPr>
        <w:t>，中0.3元/</w:t>
      </w:r>
      <w:proofErr w:type="gramStart"/>
      <w:r>
        <w:rPr>
          <w:rFonts w:ascii="宋体" w:eastAsia="宋体" w:hAnsi="宋体" w:cs="宋体" w:hint="eastAsia"/>
          <w:sz w:val="27"/>
          <w:szCs w:val="22"/>
          <w:lang w:bidi="ar"/>
        </w:rPr>
        <w:t>个</w:t>
      </w:r>
      <w:proofErr w:type="gramEnd"/>
      <w:r>
        <w:rPr>
          <w:rFonts w:ascii="宋体" w:eastAsia="宋体" w:hAnsi="宋体" w:cs="宋体" w:hint="eastAsia"/>
          <w:sz w:val="27"/>
          <w:szCs w:val="22"/>
          <w:lang w:bidi="ar"/>
        </w:rPr>
        <w:t>，小0.15元/</w:t>
      </w:r>
      <w:proofErr w:type="gramStart"/>
      <w:r>
        <w:rPr>
          <w:rFonts w:ascii="宋体" w:eastAsia="宋体" w:hAnsi="宋体" w:cs="宋体" w:hint="eastAsia"/>
          <w:sz w:val="27"/>
          <w:szCs w:val="22"/>
          <w:lang w:bidi="ar"/>
        </w:rPr>
        <w:t>个</w:t>
      </w:r>
      <w:proofErr w:type="gramEnd"/>
      <w:r>
        <w:rPr>
          <w:rFonts w:ascii="宋体" w:eastAsia="宋体" w:hAnsi="宋体" w:cs="宋体" w:hint="eastAsia"/>
          <w:sz w:val="27"/>
          <w:szCs w:val="22"/>
          <w:lang w:bidi="ar"/>
        </w:rPr>
        <w:t>，大约合计2.6万元</w:t>
      </w:r>
      <w:r w:rsidR="00944F54">
        <w:rPr>
          <w:rFonts w:ascii="宋体" w:eastAsia="宋体" w:hAnsi="宋体" w:cs="宋体" w:hint="eastAsia"/>
          <w:sz w:val="27"/>
          <w:szCs w:val="22"/>
          <w:lang w:bidi="ar"/>
        </w:rPr>
        <w:t>；</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3.红头文件：5万张，单价0.12元，合计0.6万元</w:t>
      </w:r>
      <w:r w:rsidR="00944F54">
        <w:rPr>
          <w:rFonts w:ascii="宋体" w:eastAsia="宋体" w:hAnsi="宋体" w:cs="宋体" w:hint="eastAsia"/>
          <w:sz w:val="27"/>
          <w:szCs w:val="22"/>
          <w:lang w:bidi="ar"/>
        </w:rPr>
        <w:t>；</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4.便函头：5万张，单价0.22元，合计1.1万元</w:t>
      </w:r>
      <w:r w:rsidR="00944F54">
        <w:rPr>
          <w:rFonts w:ascii="宋体" w:eastAsia="宋体" w:hAnsi="宋体" w:cs="宋体" w:hint="eastAsia"/>
          <w:sz w:val="27"/>
          <w:szCs w:val="22"/>
          <w:lang w:bidi="ar"/>
        </w:rPr>
        <w:t>；</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5.人力资源社会保障信息1万张，单价0.12元，合计0.1万元</w:t>
      </w:r>
      <w:r w:rsidR="00944F54">
        <w:rPr>
          <w:rFonts w:ascii="宋体" w:eastAsia="宋体" w:hAnsi="宋体" w:cs="宋体" w:hint="eastAsia"/>
          <w:sz w:val="27"/>
          <w:szCs w:val="22"/>
          <w:lang w:bidi="ar"/>
        </w:rPr>
        <w:t>；</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6.基层平台建设印刷材料费 20元*5000本，合计10万元</w:t>
      </w:r>
      <w:r w:rsidR="00944F54">
        <w:rPr>
          <w:rFonts w:ascii="宋体" w:eastAsia="宋体" w:hAnsi="宋体" w:cs="宋体" w:hint="eastAsia"/>
          <w:sz w:val="27"/>
          <w:szCs w:val="22"/>
          <w:lang w:bidi="ar"/>
        </w:rPr>
        <w:t>；</w:t>
      </w:r>
    </w:p>
    <w:p w:rsidR="00944F54" w:rsidRPr="00944F54" w:rsidRDefault="00944F54">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根据资金测算明细合计16.4万元。</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项目资金测算时根据相关标准，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但项目资金测算明细</w:t>
      </w:r>
      <w:r w:rsidR="00944F54">
        <w:rPr>
          <w:rFonts w:ascii="宋体" w:eastAsia="宋体" w:hAnsi="宋体" w:cs="宋体" w:hint="eastAsia"/>
          <w:sz w:val="27"/>
          <w:szCs w:val="22"/>
          <w:lang w:bidi="ar"/>
        </w:rPr>
        <w:t>为16.4万元</w:t>
      </w:r>
      <w:r>
        <w:rPr>
          <w:rFonts w:ascii="宋体" w:eastAsia="宋体" w:hAnsi="宋体" w:cs="宋体" w:hint="eastAsia"/>
          <w:sz w:val="27"/>
          <w:szCs w:val="22"/>
          <w:lang w:bidi="ar"/>
        </w:rPr>
        <w:t>与项目申请预算资金</w:t>
      </w:r>
      <w:r w:rsidR="00944F54">
        <w:rPr>
          <w:rFonts w:ascii="宋体" w:eastAsia="宋体" w:hAnsi="宋体" w:cs="宋体" w:hint="eastAsia"/>
          <w:sz w:val="27"/>
          <w:szCs w:val="22"/>
          <w:lang w:bidi="ar"/>
        </w:rPr>
        <w:t>26万元</w:t>
      </w:r>
      <w:r>
        <w:rPr>
          <w:rFonts w:ascii="宋体" w:eastAsia="宋体" w:hAnsi="宋体" w:cs="宋体" w:hint="eastAsia"/>
          <w:sz w:val="27"/>
          <w:szCs w:val="22"/>
          <w:lang w:bidi="ar"/>
        </w:rPr>
        <w:t>不符。</w:t>
      </w:r>
    </w:p>
    <w:p w:rsidR="004329F2" w:rsidRDefault="00CD2453">
      <w:pPr>
        <w:pStyle w:val="2"/>
        <w:widowControl/>
        <w:ind w:firstLine="562"/>
        <w:rPr>
          <w:rFonts w:hint="default"/>
        </w:rPr>
      </w:pPr>
      <w:bookmarkStart w:id="27" w:name="_Toc27494596"/>
      <w:bookmarkStart w:id="28" w:name="_Toc32098"/>
      <w:r>
        <w:t>（四）实施方案可行性</w:t>
      </w:r>
      <w:bookmarkEnd w:id="27"/>
      <w:bookmarkEnd w:id="28"/>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本项目严格根据《关于公布废止部分收费文件的通知》（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价字〔2006〕214 号）以及《关于加快推进人力资源和社会保障服务向基层下沉实施方案》的要求进行。年初确定工作目标后，经会议研究决定组织实施。项目实施路线完整、合理，项目组织、进度安排合理，与项目</w:t>
      </w:r>
      <w:r>
        <w:rPr>
          <w:rFonts w:ascii="宋体" w:eastAsia="宋体" w:hAnsi="宋体" w:cs="宋体" w:hint="eastAsia"/>
          <w:sz w:val="27"/>
          <w:szCs w:val="22"/>
          <w:lang w:bidi="ar"/>
        </w:rPr>
        <w:lastRenderedPageBreak/>
        <w:t>有关的基础设施条件能够保障项目的顺利进行。</w:t>
      </w:r>
    </w:p>
    <w:p w:rsidR="00D101C8" w:rsidRDefault="00CD2453">
      <w:pPr>
        <w:adjustRightInd w:val="0"/>
        <w:snapToGrid w:val="0"/>
        <w:spacing w:line="360" w:lineRule="auto"/>
        <w:ind w:firstLineChars="200" w:firstLine="540"/>
        <w:rPr>
          <w:rFonts w:ascii="宋体" w:eastAsia="宋体" w:hAnsi="宋体" w:cs="宋体"/>
          <w:sz w:val="27"/>
          <w:szCs w:val="22"/>
          <w:lang w:bidi="ar"/>
        </w:rPr>
      </w:pPr>
      <w:proofErr w:type="gramStart"/>
      <w:r>
        <w:rPr>
          <w:rFonts w:ascii="宋体" w:eastAsia="宋体" w:hAnsi="宋体" w:cs="宋体" w:hint="eastAsia"/>
          <w:sz w:val="27"/>
          <w:szCs w:val="22"/>
          <w:lang w:bidi="ar"/>
        </w:rPr>
        <w:t>市人社局</w:t>
      </w:r>
      <w:r w:rsidR="00D101C8">
        <w:rPr>
          <w:rFonts w:ascii="宋体" w:eastAsia="宋体" w:hAnsi="宋体" w:cs="宋体" w:hint="eastAsia"/>
          <w:sz w:val="27"/>
          <w:szCs w:val="22"/>
          <w:lang w:bidi="ar"/>
        </w:rPr>
        <w:t>内</w:t>
      </w:r>
      <w:proofErr w:type="gramEnd"/>
      <w:r w:rsidR="00D101C8">
        <w:rPr>
          <w:rFonts w:ascii="宋体" w:eastAsia="宋体" w:hAnsi="宋体" w:cs="宋体" w:hint="eastAsia"/>
          <w:sz w:val="27"/>
          <w:szCs w:val="22"/>
          <w:lang w:bidi="ar"/>
        </w:rPr>
        <w:t>设养老保险科，下设淄博市社会保险事业中心，科室及中心职责涵盖退休人员核准、退休业务办理、退休过程管理等。</w:t>
      </w:r>
      <w:proofErr w:type="gramStart"/>
      <w:r w:rsidR="00D101C8">
        <w:rPr>
          <w:rFonts w:ascii="宋体" w:eastAsia="宋体" w:hAnsi="宋体" w:cs="宋体" w:hint="eastAsia"/>
          <w:sz w:val="27"/>
          <w:szCs w:val="22"/>
          <w:lang w:bidi="ar"/>
        </w:rPr>
        <w:t>人社局</w:t>
      </w:r>
      <w:proofErr w:type="gramEnd"/>
      <w:r>
        <w:rPr>
          <w:rFonts w:ascii="宋体" w:eastAsia="宋体" w:hAnsi="宋体" w:cs="宋体" w:hint="eastAsia"/>
          <w:sz w:val="27"/>
          <w:szCs w:val="22"/>
          <w:lang w:bidi="ar"/>
        </w:rPr>
        <w:t>有健全的内部审</w:t>
      </w:r>
      <w:r w:rsidR="00D101C8">
        <w:rPr>
          <w:rFonts w:ascii="宋体" w:eastAsia="宋体" w:hAnsi="宋体" w:cs="宋体" w:hint="eastAsia"/>
          <w:sz w:val="27"/>
          <w:szCs w:val="22"/>
          <w:lang w:bidi="ar"/>
        </w:rPr>
        <w:t>计管理办法、项目支出预算管理办法，对项目资金使用管理有明确规定，能够</w:t>
      </w:r>
      <w:r w:rsidR="00D101C8" w:rsidRPr="00D101C8">
        <w:rPr>
          <w:rFonts w:ascii="宋体" w:eastAsia="宋体" w:hAnsi="宋体" w:cs="宋体" w:hint="eastAsia"/>
          <w:sz w:val="27"/>
          <w:szCs w:val="22"/>
          <w:lang w:bidi="ar"/>
        </w:rPr>
        <w:t>有效监督和评价单位财务收支、经济活动的真实性、合法性；有效保障项目支出程序的规范性，提高项目资金使用效益。项目申报、审批、调整及项目资金申请、审批、拨付等方面严格执行相关规定，履行程序规范。</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项目内容明确，决策申报程序规范，项目预算编制有文件依据，且绩效目标与项目内容相匹配；</w:t>
      </w:r>
      <w:r w:rsidR="00D101C8" w:rsidRPr="00D101C8">
        <w:rPr>
          <w:rFonts w:ascii="宋体" w:eastAsia="宋体" w:hAnsi="宋体" w:cs="宋体" w:hint="eastAsia"/>
          <w:sz w:val="27"/>
          <w:szCs w:val="22"/>
          <w:lang w:bidi="ar"/>
        </w:rPr>
        <w:t>市</w:t>
      </w:r>
      <w:proofErr w:type="gramStart"/>
      <w:r w:rsidR="00D101C8" w:rsidRPr="00D101C8">
        <w:rPr>
          <w:rFonts w:ascii="宋体" w:eastAsia="宋体" w:hAnsi="宋体" w:cs="宋体" w:hint="eastAsia"/>
          <w:sz w:val="27"/>
          <w:szCs w:val="22"/>
          <w:lang w:bidi="ar"/>
        </w:rPr>
        <w:t>人社局</w:t>
      </w:r>
      <w:proofErr w:type="gramEnd"/>
      <w:r w:rsidR="00D101C8" w:rsidRPr="00D101C8">
        <w:rPr>
          <w:rFonts w:ascii="宋体" w:eastAsia="宋体" w:hAnsi="宋体" w:cs="宋体" w:hint="eastAsia"/>
          <w:sz w:val="27"/>
          <w:szCs w:val="22"/>
          <w:lang w:bidi="ar"/>
        </w:rPr>
        <w:t>作为</w:t>
      </w:r>
      <w:r w:rsidR="00E646A8">
        <w:rPr>
          <w:rFonts w:ascii="宋体" w:eastAsia="宋体" w:hAnsi="宋体" w:cs="宋体" w:hint="eastAsia"/>
          <w:sz w:val="27"/>
          <w:szCs w:val="22"/>
          <w:lang w:bidi="ar"/>
        </w:rPr>
        <w:t>退休业务</w:t>
      </w:r>
      <w:r w:rsidR="00D101C8" w:rsidRPr="00D101C8">
        <w:rPr>
          <w:rFonts w:ascii="宋体" w:eastAsia="宋体" w:hAnsi="宋体" w:cs="宋体" w:hint="eastAsia"/>
          <w:sz w:val="27"/>
          <w:szCs w:val="22"/>
          <w:lang w:bidi="ar"/>
        </w:rPr>
        <w:t>管理的职能部门，具有项目实施的专业知识储备与人才保障，部门组织机构健全，无不确定因素和风险，能够保障项目的顺利实施。</w:t>
      </w:r>
    </w:p>
    <w:p w:rsidR="004329F2" w:rsidRDefault="00CD2453">
      <w:pPr>
        <w:pStyle w:val="2"/>
        <w:widowControl/>
        <w:ind w:firstLine="562"/>
        <w:rPr>
          <w:rFonts w:hint="default"/>
        </w:rPr>
      </w:pPr>
      <w:bookmarkStart w:id="29" w:name="_Toc18715"/>
      <w:bookmarkStart w:id="30" w:name="_Toc27494597"/>
      <w:r>
        <w:t>（五）筹资合</w:t>
      </w:r>
      <w:proofErr w:type="gramStart"/>
      <w:r>
        <w:t>规</w:t>
      </w:r>
      <w:proofErr w:type="gramEnd"/>
      <w:r>
        <w:t>性</w:t>
      </w:r>
      <w:bookmarkEnd w:id="29"/>
      <w:bookmarkEnd w:id="30"/>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本项目预算与绩效目标、项目内容相匹配，预算编制符合相关规定，编制依据充分，投入产出较为合理，属公共财政支持范围，财政支持方式科学合理。</w:t>
      </w:r>
    </w:p>
    <w:p w:rsidR="004329F2" w:rsidRDefault="00CD2453">
      <w:pPr>
        <w:pStyle w:val="2"/>
        <w:widowControl/>
        <w:ind w:firstLine="562"/>
        <w:rPr>
          <w:rFonts w:hint="default"/>
        </w:rPr>
      </w:pPr>
      <w:bookmarkStart w:id="31" w:name="_Toc27494598"/>
      <w:bookmarkStart w:id="32" w:name="_Toc24660"/>
      <w:r>
        <w:t>（六）总体结论</w:t>
      </w:r>
      <w:bookmarkEnd w:id="31"/>
      <w:bookmarkEnd w:id="32"/>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项目相关性显著，绩效可实现性较强，实施过程控制有效，预期绩效具有一定可持续性，且财政资金投入风险可控。综合评价，对该项目应“予以支持”。</w:t>
      </w:r>
    </w:p>
    <w:p w:rsidR="004329F2" w:rsidRDefault="00CD2453">
      <w:pPr>
        <w:pStyle w:val="1"/>
        <w:widowControl/>
        <w:ind w:firstLine="600"/>
        <w:rPr>
          <w:rFonts w:hint="default"/>
        </w:rPr>
      </w:pPr>
      <w:bookmarkStart w:id="33" w:name="_Toc5170"/>
      <w:bookmarkStart w:id="34" w:name="_Toc27494599"/>
      <w:r>
        <w:t>四、评估的相关建议</w:t>
      </w:r>
      <w:bookmarkEnd w:id="33"/>
      <w:bookmarkEnd w:id="34"/>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通过开展退休证等大宗印刷费项目</w:t>
      </w:r>
      <w:r w:rsidR="00602BAE">
        <w:rPr>
          <w:rFonts w:ascii="宋体" w:eastAsia="宋体" w:hAnsi="宋体" w:cs="宋体" w:hint="eastAsia"/>
          <w:sz w:val="27"/>
          <w:szCs w:val="22"/>
          <w:lang w:bidi="ar"/>
        </w:rPr>
        <w:t>，</w:t>
      </w:r>
      <w:r>
        <w:rPr>
          <w:rFonts w:ascii="宋体" w:eastAsia="宋体" w:hAnsi="宋体" w:cs="宋体" w:hint="eastAsia"/>
          <w:sz w:val="27"/>
          <w:szCs w:val="22"/>
          <w:lang w:bidi="ar"/>
        </w:rPr>
        <w:t>完成年度退休证、基层手册等印刷品的印刷工作，满足业务需要，有利于更好的规范工作程序，提升服务质量。建议从</w:t>
      </w:r>
      <w:r w:rsidR="00725FB7">
        <w:rPr>
          <w:rFonts w:ascii="宋体" w:eastAsia="宋体" w:hAnsi="宋体" w:cs="宋体" w:hint="eastAsia"/>
          <w:sz w:val="27"/>
          <w:szCs w:val="22"/>
          <w:lang w:bidi="ar"/>
        </w:rPr>
        <w:t>三</w:t>
      </w:r>
      <w:r>
        <w:rPr>
          <w:rFonts w:ascii="宋体" w:eastAsia="宋体" w:hAnsi="宋体" w:cs="宋体" w:hint="eastAsia"/>
          <w:sz w:val="27"/>
          <w:szCs w:val="22"/>
          <w:lang w:bidi="ar"/>
        </w:rPr>
        <w:t>个方面予以加强。</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第一，加强工作程序监</w:t>
      </w:r>
      <w:r w:rsidR="00602BAE">
        <w:rPr>
          <w:rFonts w:ascii="宋体" w:eastAsia="宋体" w:hAnsi="宋体" w:cs="宋体" w:hint="eastAsia"/>
          <w:sz w:val="27"/>
          <w:szCs w:val="22"/>
          <w:lang w:bidi="ar"/>
        </w:rPr>
        <w:t>管，保证工作程序严谨规范。因印刷品数量较大，因此要保证工作程序</w:t>
      </w:r>
      <w:r>
        <w:rPr>
          <w:rFonts w:ascii="宋体" w:eastAsia="宋体" w:hAnsi="宋体" w:cs="宋体" w:hint="eastAsia"/>
          <w:sz w:val="27"/>
          <w:szCs w:val="22"/>
          <w:lang w:bidi="ar"/>
        </w:rPr>
        <w:t>环节的有效控制，责任到人，确保工作</w:t>
      </w:r>
      <w:r w:rsidR="00602BAE">
        <w:rPr>
          <w:rFonts w:ascii="宋体" w:eastAsia="宋体" w:hAnsi="宋体" w:cs="宋体" w:hint="eastAsia"/>
          <w:sz w:val="27"/>
          <w:szCs w:val="22"/>
          <w:lang w:bidi="ar"/>
        </w:rPr>
        <w:t>流程</w:t>
      </w:r>
      <w:r>
        <w:rPr>
          <w:rFonts w:ascii="宋体" w:eastAsia="宋体" w:hAnsi="宋体" w:cs="宋体" w:hint="eastAsia"/>
          <w:sz w:val="27"/>
          <w:szCs w:val="22"/>
          <w:lang w:bidi="ar"/>
        </w:rPr>
        <w:lastRenderedPageBreak/>
        <w:t>的严谨规范，保障工作效率和工作质量。</w:t>
      </w:r>
    </w:p>
    <w:p w:rsidR="004329F2" w:rsidRDefault="00CD2453">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第二，加强财务监督工作，及时发现财政资金</w:t>
      </w:r>
      <w:r w:rsidR="00602BAE">
        <w:rPr>
          <w:rFonts w:ascii="宋体" w:eastAsia="宋体" w:hAnsi="宋体" w:cs="宋体" w:hint="eastAsia"/>
          <w:sz w:val="27"/>
          <w:szCs w:val="22"/>
          <w:lang w:bidi="ar"/>
        </w:rPr>
        <w:t>使用</w:t>
      </w:r>
      <w:r>
        <w:rPr>
          <w:rFonts w:ascii="宋体" w:eastAsia="宋体" w:hAnsi="宋体" w:cs="宋体" w:hint="eastAsia"/>
          <w:sz w:val="27"/>
          <w:szCs w:val="22"/>
          <w:lang w:bidi="ar"/>
        </w:rPr>
        <w:t>管理中存在的问题并加以改进。通过定期开展财务监督检查</w:t>
      </w:r>
      <w:r w:rsidR="00602BAE">
        <w:rPr>
          <w:rFonts w:ascii="宋体" w:eastAsia="宋体" w:hAnsi="宋体" w:cs="宋体" w:hint="eastAsia"/>
          <w:sz w:val="27"/>
          <w:szCs w:val="22"/>
          <w:lang w:bidi="ar"/>
        </w:rPr>
        <w:t>，及时发现资金管理中存在的不规范、不合</w:t>
      </w:r>
      <w:proofErr w:type="gramStart"/>
      <w:r w:rsidR="00602BAE">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问题，并根据发现的问题及时分析原因并通过适当的方式反馈给单位领导和相关部门人员，及时采取有效措施加以改进，不断提高财政资金管理水平。</w:t>
      </w:r>
    </w:p>
    <w:p w:rsidR="00602BAE" w:rsidRDefault="00602BAE" w:rsidP="00602BAE">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第三，</w:t>
      </w:r>
      <w:r w:rsidRPr="00602BAE">
        <w:rPr>
          <w:rFonts w:ascii="宋体" w:eastAsia="宋体" w:hAnsi="宋体" w:cs="宋体" w:hint="eastAsia"/>
          <w:sz w:val="27"/>
          <w:szCs w:val="22"/>
          <w:lang w:bidi="ar"/>
        </w:rPr>
        <w:t>进一步做好部门预算编制的细化工作</w:t>
      </w:r>
      <w:r>
        <w:rPr>
          <w:rFonts w:ascii="宋体" w:eastAsia="宋体" w:hAnsi="宋体" w:cs="宋体" w:hint="eastAsia"/>
          <w:sz w:val="27"/>
          <w:szCs w:val="22"/>
          <w:lang w:bidi="ar"/>
        </w:rPr>
        <w:t>。</w:t>
      </w:r>
      <w:r w:rsidRPr="00602BAE">
        <w:rPr>
          <w:rFonts w:ascii="宋体" w:eastAsia="宋体" w:hAnsi="宋体" w:cs="宋体" w:hint="eastAsia"/>
          <w:sz w:val="27"/>
          <w:szCs w:val="22"/>
          <w:lang w:bidi="ar"/>
        </w:rPr>
        <w:t>要做好预算的基础工作，从思想上确保预算工作的严肃性，进一步提高对预算工作的重要认识，在业务操作上，要按照公共财政的要求界定支出范围、明确列支标准、细化测算明细，求真务实，促使预算编制更加规范性、真实性和科学性。</w:t>
      </w:r>
    </w:p>
    <w:p w:rsidR="004329F2" w:rsidRDefault="00CD2453">
      <w:pPr>
        <w:pStyle w:val="1"/>
        <w:widowControl/>
        <w:ind w:firstLine="600"/>
        <w:rPr>
          <w:rFonts w:hint="default"/>
        </w:rPr>
      </w:pPr>
      <w:bookmarkStart w:id="35" w:name="_Toc17920"/>
      <w:bookmarkStart w:id="36" w:name="_Toc27494600"/>
      <w:r>
        <w:t>五、其他需要说明的问题</w:t>
      </w:r>
      <w:bookmarkEnd w:id="35"/>
      <w:bookmarkEnd w:id="36"/>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4329F2" w:rsidRDefault="00CD2453">
      <w:pPr>
        <w:pStyle w:val="1"/>
        <w:widowControl/>
        <w:ind w:firstLine="600"/>
        <w:rPr>
          <w:rFonts w:hint="default"/>
        </w:rPr>
      </w:pPr>
      <w:bookmarkStart w:id="37" w:name="_Toc27494601"/>
      <w:bookmarkStart w:id="38" w:name="_Toc26749"/>
      <w:r>
        <w:t>六、附件</w:t>
      </w:r>
      <w:bookmarkEnd w:id="37"/>
      <w:bookmarkEnd w:id="38"/>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附件1：事前绩效评估评分指标体系</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附件2：项目支出绩效目标申报表</w:t>
      </w: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附件3：专家及工作组情况表</w:t>
      </w:r>
    </w:p>
    <w:p w:rsidR="004329F2" w:rsidRDefault="004329F2">
      <w:pPr>
        <w:adjustRightInd w:val="0"/>
        <w:snapToGrid w:val="0"/>
        <w:spacing w:line="360" w:lineRule="auto"/>
      </w:pPr>
    </w:p>
    <w:p w:rsidR="004329F2" w:rsidRDefault="004329F2">
      <w:pPr>
        <w:adjustRightInd w:val="0"/>
        <w:snapToGrid w:val="0"/>
        <w:spacing w:line="360" w:lineRule="auto"/>
        <w:ind w:firstLineChars="200" w:firstLine="420"/>
      </w:pPr>
    </w:p>
    <w:p w:rsidR="004329F2" w:rsidRDefault="00CD2453">
      <w:pPr>
        <w:adjustRightInd w:val="0"/>
        <w:snapToGrid w:val="0"/>
        <w:spacing w:line="360" w:lineRule="auto"/>
        <w:ind w:firstLineChars="200" w:firstLine="540"/>
      </w:pPr>
      <w:r>
        <w:rPr>
          <w:rFonts w:ascii="宋体" w:eastAsia="宋体" w:hAnsi="宋体" w:cs="宋体" w:hint="eastAsia"/>
          <w:sz w:val="27"/>
          <w:szCs w:val="22"/>
          <w:lang w:bidi="ar"/>
        </w:rPr>
        <w:t xml:space="preserve">                       山东正源智库信息咨询有限公司</w:t>
      </w:r>
    </w:p>
    <w:p w:rsidR="004329F2" w:rsidRDefault="00CD2453">
      <w:pPr>
        <w:adjustRightInd w:val="0"/>
        <w:snapToGrid w:val="0"/>
        <w:spacing w:line="360" w:lineRule="auto"/>
        <w:ind w:firstLineChars="1773" w:firstLine="4787"/>
      </w:pPr>
      <w:r>
        <w:rPr>
          <w:rFonts w:ascii="宋体" w:eastAsia="宋体" w:hAnsi="宋体" w:cs="宋体" w:hint="eastAsia"/>
          <w:sz w:val="27"/>
          <w:szCs w:val="22"/>
          <w:lang w:bidi="ar"/>
        </w:rPr>
        <w:t>2019年12月</w:t>
      </w:r>
    </w:p>
    <w:sectPr w:rsidR="004329F2" w:rsidSect="00AA7E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892" w:rsidRDefault="00A51892" w:rsidP="00AA7E80">
      <w:r>
        <w:separator/>
      </w:r>
    </w:p>
  </w:endnote>
  <w:endnote w:type="continuationSeparator" w:id="0">
    <w:p w:rsidR="00A51892" w:rsidRDefault="00A51892" w:rsidP="00AA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752994"/>
      <w:docPartObj>
        <w:docPartGallery w:val="Page Numbers (Bottom of Page)"/>
        <w:docPartUnique/>
      </w:docPartObj>
    </w:sdtPr>
    <w:sdtEndPr/>
    <w:sdtContent>
      <w:p w:rsidR="00AA7E80" w:rsidRDefault="00AA7E80">
        <w:pPr>
          <w:pStyle w:val="a3"/>
          <w:jc w:val="center"/>
        </w:pPr>
        <w:r>
          <w:fldChar w:fldCharType="begin"/>
        </w:r>
        <w:r>
          <w:instrText>PAGE   \* MERGEFORMAT</w:instrText>
        </w:r>
        <w:r>
          <w:fldChar w:fldCharType="separate"/>
        </w:r>
        <w:r w:rsidR="006709C7" w:rsidRPr="006709C7">
          <w:rPr>
            <w:noProof/>
            <w:lang w:val="zh-CN"/>
          </w:rPr>
          <w:t>8</w:t>
        </w:r>
        <w:r>
          <w:fldChar w:fldCharType="end"/>
        </w:r>
      </w:p>
    </w:sdtContent>
  </w:sdt>
  <w:p w:rsidR="00AA7E80" w:rsidRDefault="00AA7E8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892" w:rsidRDefault="00A51892" w:rsidP="00AA7E80">
      <w:r>
        <w:separator/>
      </w:r>
    </w:p>
  </w:footnote>
  <w:footnote w:type="continuationSeparator" w:id="0">
    <w:p w:rsidR="00A51892" w:rsidRDefault="00A51892" w:rsidP="00AA7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E80" w:rsidRPr="00AA7E80" w:rsidRDefault="00AA7E80" w:rsidP="00AA7E80">
    <w:pPr>
      <w:pStyle w:val="a4"/>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0F443C"/>
    <w:rsid w:val="00356C9E"/>
    <w:rsid w:val="004329F2"/>
    <w:rsid w:val="00543F15"/>
    <w:rsid w:val="00602BAE"/>
    <w:rsid w:val="006709C7"/>
    <w:rsid w:val="00725FB7"/>
    <w:rsid w:val="00944F54"/>
    <w:rsid w:val="00957CB3"/>
    <w:rsid w:val="00977C87"/>
    <w:rsid w:val="00A51892"/>
    <w:rsid w:val="00AA7E80"/>
    <w:rsid w:val="00BC74DD"/>
    <w:rsid w:val="00CD2453"/>
    <w:rsid w:val="00D101C8"/>
    <w:rsid w:val="00D92245"/>
    <w:rsid w:val="00E646A8"/>
    <w:rsid w:val="00FB1A10"/>
    <w:rsid w:val="00FF7C47"/>
    <w:rsid w:val="022932E3"/>
    <w:rsid w:val="077707D8"/>
    <w:rsid w:val="0A1231DA"/>
    <w:rsid w:val="0D493366"/>
    <w:rsid w:val="0ED5572E"/>
    <w:rsid w:val="1949662C"/>
    <w:rsid w:val="1C5E6E8E"/>
    <w:rsid w:val="227C6AC3"/>
    <w:rsid w:val="24003D03"/>
    <w:rsid w:val="28EA62F1"/>
    <w:rsid w:val="30C2642A"/>
    <w:rsid w:val="3312756A"/>
    <w:rsid w:val="34A04E05"/>
    <w:rsid w:val="36E426B0"/>
    <w:rsid w:val="393E5053"/>
    <w:rsid w:val="3AF54BD4"/>
    <w:rsid w:val="3BE96794"/>
    <w:rsid w:val="40D022BF"/>
    <w:rsid w:val="480F443C"/>
    <w:rsid w:val="48CA7563"/>
    <w:rsid w:val="4BF85098"/>
    <w:rsid w:val="52625CF1"/>
    <w:rsid w:val="53CB0D71"/>
    <w:rsid w:val="54BD3735"/>
    <w:rsid w:val="5AE23E92"/>
    <w:rsid w:val="5D9024A6"/>
    <w:rsid w:val="5DA72625"/>
    <w:rsid w:val="61A90318"/>
    <w:rsid w:val="637979A6"/>
    <w:rsid w:val="65EC6F40"/>
    <w:rsid w:val="682D6F8F"/>
    <w:rsid w:val="68975A5F"/>
    <w:rsid w:val="6A495849"/>
    <w:rsid w:val="71817C3C"/>
    <w:rsid w:val="76D55B18"/>
    <w:rsid w:val="7DBD4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adjustRightInd w:val="0"/>
      <w:snapToGrid w:val="0"/>
      <w:spacing w:line="360" w:lineRule="auto"/>
      <w:ind w:firstLineChars="200" w:firstLine="200"/>
      <w:outlineLvl w:val="0"/>
    </w:pPr>
    <w:rPr>
      <w:rFonts w:ascii="黑体" w:eastAsia="黑体" w:hAnsi="宋体" w:cs="Times New Roman" w:hint="eastAsia"/>
      <w:bCs/>
      <w:kern w:val="44"/>
      <w:sz w:val="30"/>
      <w:szCs w:val="44"/>
    </w:rPr>
  </w:style>
  <w:style w:type="paragraph" w:styleId="2">
    <w:name w:val="heading 2"/>
    <w:basedOn w:val="a"/>
    <w:next w:val="a"/>
    <w:link w:val="2Char"/>
    <w:semiHidden/>
    <w:unhideWhenUsed/>
    <w:qFormat/>
    <w:pPr>
      <w:keepLines/>
      <w:adjustRightInd w:val="0"/>
      <w:snapToGrid w:val="0"/>
      <w:spacing w:line="360" w:lineRule="auto"/>
      <w:ind w:firstLineChars="200" w:firstLine="200"/>
      <w:outlineLvl w:val="1"/>
    </w:pPr>
    <w:rPr>
      <w:rFonts w:ascii="宋体" w:eastAsia="宋体" w:hAnsi="宋体" w:cs="Times New Roman" w:hint="eastAsia"/>
      <w:b/>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link w:val="Char0"/>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pPr>
      <w:adjustRightInd w:val="0"/>
      <w:snapToGrid w:val="0"/>
      <w:spacing w:line="360" w:lineRule="auto"/>
      <w:ind w:firstLineChars="200" w:firstLine="200"/>
    </w:pPr>
    <w:rPr>
      <w:rFonts w:ascii="宋体" w:eastAsia="宋体" w:hAnsi="宋体" w:cs="Times New Roman" w:hint="eastAsia"/>
      <w:sz w:val="27"/>
      <w:szCs w:val="22"/>
    </w:rPr>
  </w:style>
  <w:style w:type="paragraph" w:styleId="20">
    <w:name w:val="toc 2"/>
    <w:basedOn w:val="a"/>
    <w:next w:val="a"/>
    <w:qFormat/>
    <w:pPr>
      <w:adjustRightInd w:val="0"/>
      <w:snapToGrid w:val="0"/>
      <w:spacing w:line="360" w:lineRule="auto"/>
      <w:ind w:leftChars="200" w:left="420" w:firstLineChars="200" w:firstLine="200"/>
    </w:pPr>
    <w:rPr>
      <w:rFonts w:ascii="宋体" w:eastAsia="宋体" w:hAnsi="宋体" w:cs="Times New Roman" w:hint="eastAsia"/>
      <w:sz w:val="27"/>
      <w:szCs w:val="22"/>
    </w:rPr>
  </w:style>
  <w:style w:type="character" w:styleId="a5">
    <w:name w:val="FollowedHyperlink"/>
    <w:basedOn w:val="a0"/>
    <w:qFormat/>
    <w:rPr>
      <w:color w:val="954F72"/>
      <w:u w:val="single"/>
    </w:rPr>
  </w:style>
  <w:style w:type="character" w:styleId="a6">
    <w:name w:val="Hyperlink"/>
    <w:basedOn w:val="a0"/>
    <w:qFormat/>
    <w:rPr>
      <w:color w:val="0563C1"/>
      <w:u w:val="single"/>
    </w:rPr>
  </w:style>
  <w:style w:type="paragraph" w:customStyle="1" w:styleId="msotocheading0">
    <w:name w:val="msotocheading"/>
    <w:basedOn w:val="1"/>
    <w:next w:val="a"/>
    <w:hidden/>
    <w:qFormat/>
    <w:pPr>
      <w:widowControl/>
      <w:adjustRightInd/>
      <w:snapToGrid/>
      <w:spacing w:before="480" w:line="276" w:lineRule="auto"/>
      <w:ind w:firstLineChars="0" w:firstLine="0"/>
      <w:jc w:val="left"/>
    </w:pPr>
    <w:rPr>
      <w:rFonts w:ascii="Calibri Light" w:eastAsia="宋体" w:hAnsi="Calibri Light" w:hint="default"/>
      <w:b/>
      <w:color w:val="2E74B5"/>
      <w:kern w:val="0"/>
      <w:sz w:val="28"/>
      <w:szCs w:val="28"/>
    </w:rPr>
  </w:style>
  <w:style w:type="character" w:customStyle="1" w:styleId="Char">
    <w:name w:val="页脚 Char"/>
    <w:basedOn w:val="a0"/>
    <w:link w:val="a3"/>
    <w:uiPriority w:val="99"/>
    <w:qFormat/>
    <w:rPr>
      <w:rFonts w:ascii="Times New Roman" w:eastAsia="宋体" w:hAnsi="Times New Roman" w:cs="Times New Roman" w:hint="default"/>
      <w:kern w:val="2"/>
      <w:sz w:val="18"/>
      <w:szCs w:val="18"/>
    </w:rPr>
  </w:style>
  <w:style w:type="character" w:customStyle="1" w:styleId="2Char">
    <w:name w:val="标题 2 Char"/>
    <w:basedOn w:val="a0"/>
    <w:link w:val="2"/>
    <w:qFormat/>
    <w:rPr>
      <w:rFonts w:ascii="宋体" w:eastAsia="宋体" w:hAnsi="宋体" w:cs="Times New Roman" w:hint="eastAsia"/>
      <w:b/>
      <w:kern w:val="2"/>
      <w:sz w:val="28"/>
      <w:szCs w:val="32"/>
    </w:rPr>
  </w:style>
  <w:style w:type="character" w:customStyle="1" w:styleId="1Char">
    <w:name w:val="标题 1 Char"/>
    <w:basedOn w:val="a0"/>
    <w:link w:val="1"/>
    <w:qFormat/>
    <w:rPr>
      <w:rFonts w:ascii="黑体" w:eastAsia="黑体" w:hAnsi="宋体" w:cs="Times New Roman" w:hint="eastAsia"/>
      <w:bCs/>
      <w:kern w:val="44"/>
      <w:sz w:val="30"/>
      <w:szCs w:val="44"/>
    </w:rPr>
  </w:style>
  <w:style w:type="character" w:customStyle="1" w:styleId="Char0">
    <w:name w:val="页眉 Char"/>
    <w:basedOn w:val="a0"/>
    <w:link w:val="a4"/>
    <w:uiPriority w:val="99"/>
    <w:qFormat/>
    <w:rPr>
      <w:rFonts w:ascii="宋体" w:eastAsia="宋体" w:hAnsi="宋体" w:cs="宋体" w:hint="eastAsia"/>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adjustRightInd w:val="0"/>
      <w:snapToGrid w:val="0"/>
      <w:spacing w:line="360" w:lineRule="auto"/>
      <w:ind w:firstLineChars="200" w:firstLine="200"/>
      <w:outlineLvl w:val="0"/>
    </w:pPr>
    <w:rPr>
      <w:rFonts w:ascii="黑体" w:eastAsia="黑体" w:hAnsi="宋体" w:cs="Times New Roman" w:hint="eastAsia"/>
      <w:bCs/>
      <w:kern w:val="44"/>
      <w:sz w:val="30"/>
      <w:szCs w:val="44"/>
    </w:rPr>
  </w:style>
  <w:style w:type="paragraph" w:styleId="2">
    <w:name w:val="heading 2"/>
    <w:basedOn w:val="a"/>
    <w:next w:val="a"/>
    <w:link w:val="2Char"/>
    <w:semiHidden/>
    <w:unhideWhenUsed/>
    <w:qFormat/>
    <w:pPr>
      <w:keepLines/>
      <w:adjustRightInd w:val="0"/>
      <w:snapToGrid w:val="0"/>
      <w:spacing w:line="360" w:lineRule="auto"/>
      <w:ind w:firstLineChars="200" w:firstLine="200"/>
      <w:outlineLvl w:val="1"/>
    </w:pPr>
    <w:rPr>
      <w:rFonts w:ascii="宋体" w:eastAsia="宋体" w:hAnsi="宋体" w:cs="Times New Roman" w:hint="eastAsia"/>
      <w:b/>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link w:val="Char0"/>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pPr>
      <w:adjustRightInd w:val="0"/>
      <w:snapToGrid w:val="0"/>
      <w:spacing w:line="360" w:lineRule="auto"/>
      <w:ind w:firstLineChars="200" w:firstLine="200"/>
    </w:pPr>
    <w:rPr>
      <w:rFonts w:ascii="宋体" w:eastAsia="宋体" w:hAnsi="宋体" w:cs="Times New Roman" w:hint="eastAsia"/>
      <w:sz w:val="27"/>
      <w:szCs w:val="22"/>
    </w:rPr>
  </w:style>
  <w:style w:type="paragraph" w:styleId="20">
    <w:name w:val="toc 2"/>
    <w:basedOn w:val="a"/>
    <w:next w:val="a"/>
    <w:qFormat/>
    <w:pPr>
      <w:adjustRightInd w:val="0"/>
      <w:snapToGrid w:val="0"/>
      <w:spacing w:line="360" w:lineRule="auto"/>
      <w:ind w:leftChars="200" w:left="420" w:firstLineChars="200" w:firstLine="200"/>
    </w:pPr>
    <w:rPr>
      <w:rFonts w:ascii="宋体" w:eastAsia="宋体" w:hAnsi="宋体" w:cs="Times New Roman" w:hint="eastAsia"/>
      <w:sz w:val="27"/>
      <w:szCs w:val="22"/>
    </w:rPr>
  </w:style>
  <w:style w:type="character" w:styleId="a5">
    <w:name w:val="FollowedHyperlink"/>
    <w:basedOn w:val="a0"/>
    <w:qFormat/>
    <w:rPr>
      <w:color w:val="954F72"/>
      <w:u w:val="single"/>
    </w:rPr>
  </w:style>
  <w:style w:type="character" w:styleId="a6">
    <w:name w:val="Hyperlink"/>
    <w:basedOn w:val="a0"/>
    <w:qFormat/>
    <w:rPr>
      <w:color w:val="0563C1"/>
      <w:u w:val="single"/>
    </w:rPr>
  </w:style>
  <w:style w:type="paragraph" w:customStyle="1" w:styleId="msotocheading0">
    <w:name w:val="msotocheading"/>
    <w:basedOn w:val="1"/>
    <w:next w:val="a"/>
    <w:hidden/>
    <w:qFormat/>
    <w:pPr>
      <w:widowControl/>
      <w:adjustRightInd/>
      <w:snapToGrid/>
      <w:spacing w:before="480" w:line="276" w:lineRule="auto"/>
      <w:ind w:firstLineChars="0" w:firstLine="0"/>
      <w:jc w:val="left"/>
    </w:pPr>
    <w:rPr>
      <w:rFonts w:ascii="Calibri Light" w:eastAsia="宋体" w:hAnsi="Calibri Light" w:hint="default"/>
      <w:b/>
      <w:color w:val="2E74B5"/>
      <w:kern w:val="0"/>
      <w:sz w:val="28"/>
      <w:szCs w:val="28"/>
    </w:rPr>
  </w:style>
  <w:style w:type="character" w:customStyle="1" w:styleId="Char">
    <w:name w:val="页脚 Char"/>
    <w:basedOn w:val="a0"/>
    <w:link w:val="a3"/>
    <w:uiPriority w:val="99"/>
    <w:qFormat/>
    <w:rPr>
      <w:rFonts w:ascii="Times New Roman" w:eastAsia="宋体" w:hAnsi="Times New Roman" w:cs="Times New Roman" w:hint="default"/>
      <w:kern w:val="2"/>
      <w:sz w:val="18"/>
      <w:szCs w:val="18"/>
    </w:rPr>
  </w:style>
  <w:style w:type="character" w:customStyle="1" w:styleId="2Char">
    <w:name w:val="标题 2 Char"/>
    <w:basedOn w:val="a0"/>
    <w:link w:val="2"/>
    <w:qFormat/>
    <w:rPr>
      <w:rFonts w:ascii="宋体" w:eastAsia="宋体" w:hAnsi="宋体" w:cs="Times New Roman" w:hint="eastAsia"/>
      <w:b/>
      <w:kern w:val="2"/>
      <w:sz w:val="28"/>
      <w:szCs w:val="32"/>
    </w:rPr>
  </w:style>
  <w:style w:type="character" w:customStyle="1" w:styleId="1Char">
    <w:name w:val="标题 1 Char"/>
    <w:basedOn w:val="a0"/>
    <w:link w:val="1"/>
    <w:qFormat/>
    <w:rPr>
      <w:rFonts w:ascii="黑体" w:eastAsia="黑体" w:hAnsi="宋体" w:cs="Times New Roman" w:hint="eastAsia"/>
      <w:bCs/>
      <w:kern w:val="44"/>
      <w:sz w:val="30"/>
      <w:szCs w:val="44"/>
    </w:rPr>
  </w:style>
  <w:style w:type="character" w:customStyle="1" w:styleId="Char0">
    <w:name w:val="页眉 Char"/>
    <w:basedOn w:val="a0"/>
    <w:link w:val="a4"/>
    <w:uiPriority w:val="99"/>
    <w:qFormat/>
    <w:rPr>
      <w:rFonts w:ascii="宋体" w:eastAsia="宋体" w:hAnsi="宋体" w:cs="宋体" w:hint="eastAsia"/>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41CADD-E60E-40B7-B86E-E7321652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896</Words>
  <Characters>5112</Characters>
  <Application>Microsoft Office Word</Application>
  <DocSecurity>0</DocSecurity>
  <Lines>42</Lines>
  <Paragraphs>11</Paragraphs>
  <ScaleCrop>false</ScaleCrop>
  <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6</cp:revision>
  <dcterms:created xsi:type="dcterms:W3CDTF">2019-12-17T09:04:00Z</dcterms:created>
  <dcterms:modified xsi:type="dcterms:W3CDTF">2020-05-13T05:38:00Z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